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0E63E" w14:textId="77777777" w:rsidR="00FA3D38" w:rsidRPr="0093012F" w:rsidRDefault="00FA3D38" w:rsidP="00FA3D38">
      <w:pPr>
        <w:autoSpaceDE w:val="0"/>
        <w:autoSpaceDN w:val="0"/>
        <w:adjustRightInd w:val="0"/>
        <w:spacing w:before="0" w:after="0"/>
        <w:rPr>
          <w:rFonts w:cs="Arial"/>
          <w:sz w:val="22"/>
          <w:szCs w:val="22"/>
          <w:u w:val="single"/>
        </w:rPr>
      </w:pPr>
      <w:r w:rsidRPr="0093012F">
        <w:rPr>
          <w:rFonts w:cs="Arial"/>
          <w:bCs/>
          <w:sz w:val="22"/>
          <w:szCs w:val="22"/>
          <w:u w:val="single"/>
        </w:rPr>
        <w:t xml:space="preserve">Section </w:t>
      </w:r>
      <w:proofErr w:type="gramStart"/>
      <w:r w:rsidRPr="00387D63">
        <w:rPr>
          <w:rFonts w:cs="Arial"/>
          <w:bCs/>
          <w:sz w:val="22"/>
          <w:szCs w:val="22"/>
          <w:u w:val="single"/>
        </w:rPr>
        <w:t>16</w:t>
      </w:r>
      <w:r>
        <w:rPr>
          <w:rFonts w:cs="Arial"/>
          <w:bCs/>
          <w:sz w:val="22"/>
          <w:szCs w:val="22"/>
          <w:u w:val="single"/>
        </w:rPr>
        <w:t xml:space="preserve">  </w:t>
      </w:r>
      <w:r w:rsidRPr="0093012F">
        <w:rPr>
          <w:rFonts w:cs="Arial"/>
          <w:bCs/>
          <w:sz w:val="22"/>
          <w:szCs w:val="22"/>
          <w:u w:val="single"/>
        </w:rPr>
        <w:t>IDX</w:t>
      </w:r>
      <w:proofErr w:type="gramEnd"/>
      <w:r w:rsidRPr="0093012F">
        <w:rPr>
          <w:rFonts w:cs="Arial"/>
          <w:bCs/>
          <w:sz w:val="22"/>
          <w:szCs w:val="22"/>
          <w:u w:val="single"/>
        </w:rPr>
        <w:t xml:space="preserve"> Defined</w:t>
      </w:r>
      <w:r w:rsidRPr="0093012F">
        <w:rPr>
          <w:rFonts w:cs="Arial"/>
          <w:sz w:val="22"/>
          <w:szCs w:val="22"/>
          <w:u w:val="single"/>
        </w:rPr>
        <w:t xml:space="preserve"> </w:t>
      </w:r>
    </w:p>
    <w:p w14:paraId="44BDCB77" w14:textId="77777777" w:rsidR="00FA3D38" w:rsidRDefault="00FA3D38" w:rsidP="00FA3D38">
      <w:pPr>
        <w:autoSpaceDE w:val="0"/>
        <w:autoSpaceDN w:val="0"/>
        <w:adjustRightInd w:val="0"/>
        <w:spacing w:after="0"/>
        <w:jc w:val="both"/>
        <w:rPr>
          <w:rFonts w:cs="Arial"/>
          <w:sz w:val="22"/>
          <w:szCs w:val="22"/>
        </w:rPr>
      </w:pPr>
      <w:r w:rsidRPr="00387D63">
        <w:rPr>
          <w:rFonts w:cs="Arial"/>
          <w:sz w:val="22"/>
          <w:szCs w:val="22"/>
        </w:rPr>
        <w:t>IDX affords MLS participants the ability to authorize limited electronic display and delivery of their listings by other participants via the following authorized mediums under the participant’s control: websites, mobile apps, and audio devices.  As used throughout these rules, “display” includes “delivery” of such listings. (Amended 5/17)</w:t>
      </w:r>
      <w:r w:rsidRPr="0093012F">
        <w:rPr>
          <w:rFonts w:cs="Arial"/>
          <w:sz w:val="22"/>
          <w:szCs w:val="22"/>
        </w:rPr>
        <w:t xml:space="preserve"> </w:t>
      </w:r>
    </w:p>
    <w:p w14:paraId="40336022" w14:textId="77777777" w:rsidR="00FA3D38" w:rsidRDefault="00FA3D38" w:rsidP="00FA3D38">
      <w:pPr>
        <w:spacing w:before="0" w:after="0"/>
        <w:rPr>
          <w:rFonts w:cs="Arial"/>
          <w:sz w:val="22"/>
          <w:szCs w:val="22"/>
        </w:rPr>
      </w:pPr>
    </w:p>
    <w:p w14:paraId="0DFBD245" w14:textId="77777777" w:rsidR="00FA3D38" w:rsidRPr="0093012F" w:rsidRDefault="00FA3D38" w:rsidP="00FA3D38">
      <w:pPr>
        <w:spacing w:before="0" w:after="0"/>
        <w:rPr>
          <w:rFonts w:cs="Arial"/>
          <w:sz w:val="22"/>
          <w:szCs w:val="22"/>
        </w:rPr>
      </w:pPr>
      <w:r w:rsidRPr="0093012F">
        <w:rPr>
          <w:rFonts w:cs="Arial"/>
          <w:bCs/>
          <w:sz w:val="22"/>
          <w:szCs w:val="22"/>
          <w:u w:val="single"/>
        </w:rPr>
        <w:t xml:space="preserve">Section </w:t>
      </w:r>
      <w:r w:rsidRPr="00452C85">
        <w:rPr>
          <w:rFonts w:cs="Arial"/>
          <w:bCs/>
          <w:sz w:val="22"/>
          <w:szCs w:val="22"/>
          <w:u w:val="single"/>
        </w:rPr>
        <w:t>16.1</w:t>
      </w:r>
      <w:r>
        <w:rPr>
          <w:rFonts w:cs="Arial"/>
          <w:bCs/>
          <w:sz w:val="22"/>
          <w:szCs w:val="22"/>
          <w:u w:val="single"/>
        </w:rPr>
        <w:t xml:space="preserve"> </w:t>
      </w:r>
      <w:r w:rsidRPr="0093012F">
        <w:rPr>
          <w:rFonts w:cs="Arial"/>
          <w:bCs/>
          <w:sz w:val="22"/>
          <w:szCs w:val="22"/>
          <w:u w:val="single"/>
        </w:rPr>
        <w:t>Authorization</w:t>
      </w:r>
      <w:r w:rsidRPr="0093012F">
        <w:rPr>
          <w:rFonts w:cs="Arial"/>
          <w:sz w:val="22"/>
          <w:szCs w:val="22"/>
        </w:rPr>
        <w:t xml:space="preserve"> </w:t>
      </w:r>
      <w:r w:rsidRPr="0093012F">
        <w:rPr>
          <w:rFonts w:cs="Arial"/>
          <w:sz w:val="22"/>
          <w:szCs w:val="22"/>
        </w:rPr>
        <w:br/>
        <w:t xml:space="preserve">Participants’ consent for display of their listings by other participants pursuant to these rules and regulations is presumed unless a participant affirmatively notifies the MLS that the participant refuses to permit display (either on a blanket or on a listing-by-listing basis).  If a participant refuses on a blanket basis to permit the display of that participant’s listings, that participant may not download, </w:t>
      </w:r>
      <w:proofErr w:type="gramStart"/>
      <w:r w:rsidRPr="0093012F">
        <w:rPr>
          <w:rFonts w:cs="Arial"/>
          <w:sz w:val="22"/>
          <w:szCs w:val="22"/>
        </w:rPr>
        <w:t>frame</w:t>
      </w:r>
      <w:proofErr w:type="gramEnd"/>
      <w:r w:rsidRPr="0093012F">
        <w:rPr>
          <w:rFonts w:cs="Arial"/>
          <w:sz w:val="22"/>
          <w:szCs w:val="22"/>
        </w:rPr>
        <w:t xml:space="preserve"> or display the aggregated MLS data of other participants.  Even where participants have given blanket authority for other participants to display their listings on IDX sites, such consent may be withdrawn on a listing-by-listing basis where the seller has prohibited all Internet </w:t>
      </w:r>
      <w:r w:rsidRPr="00452C85">
        <w:rPr>
          <w:rFonts w:cs="Arial"/>
          <w:sz w:val="22"/>
          <w:szCs w:val="22"/>
        </w:rPr>
        <w:t xml:space="preserve">display or other electronic forms of display or distribution. </w:t>
      </w:r>
      <w:r w:rsidRPr="00452C85">
        <w:rPr>
          <w:rFonts w:cs="Arial"/>
          <w:iCs/>
          <w:sz w:val="22"/>
          <w:szCs w:val="22"/>
        </w:rPr>
        <w:t xml:space="preserve">(Amended 05/17) </w:t>
      </w:r>
      <w:r w:rsidRPr="0093012F">
        <w:rPr>
          <w:rFonts w:cs="Arial"/>
          <w:sz w:val="22"/>
          <w:szCs w:val="22"/>
        </w:rPr>
        <w:br/>
      </w:r>
      <w:r w:rsidRPr="0093012F">
        <w:rPr>
          <w:rFonts w:cs="Arial"/>
          <w:sz w:val="22"/>
          <w:szCs w:val="22"/>
        </w:rPr>
        <w:br/>
      </w:r>
      <w:r w:rsidRPr="0093012F">
        <w:rPr>
          <w:rFonts w:cs="Arial"/>
          <w:bCs/>
          <w:sz w:val="22"/>
          <w:szCs w:val="22"/>
          <w:u w:val="single"/>
        </w:rPr>
        <w:t xml:space="preserve">Section </w:t>
      </w:r>
      <w:r>
        <w:rPr>
          <w:rFonts w:cs="Arial"/>
          <w:bCs/>
          <w:sz w:val="22"/>
          <w:szCs w:val="22"/>
          <w:u w:val="single"/>
        </w:rPr>
        <w:t xml:space="preserve">16.2 </w:t>
      </w:r>
      <w:r w:rsidRPr="0093012F">
        <w:rPr>
          <w:rFonts w:cs="Arial"/>
          <w:bCs/>
          <w:sz w:val="22"/>
          <w:szCs w:val="22"/>
          <w:u w:val="single"/>
        </w:rPr>
        <w:t>Participation</w:t>
      </w:r>
      <w:r w:rsidRPr="0093012F">
        <w:rPr>
          <w:rFonts w:cs="Arial"/>
          <w:sz w:val="22"/>
          <w:szCs w:val="22"/>
        </w:rPr>
        <w:t xml:space="preserve"> </w:t>
      </w:r>
    </w:p>
    <w:p w14:paraId="10BE5359" w14:textId="77777777" w:rsidR="00FA3D38" w:rsidRPr="0093012F" w:rsidRDefault="00FA3D38" w:rsidP="00FA3D38">
      <w:pPr>
        <w:spacing w:before="0" w:after="0"/>
        <w:rPr>
          <w:rFonts w:cs="Arial"/>
          <w:bCs/>
          <w:sz w:val="22"/>
          <w:szCs w:val="22"/>
        </w:rPr>
      </w:pPr>
      <w:r w:rsidRPr="0093012F">
        <w:rPr>
          <w:rFonts w:cs="Arial"/>
          <w:sz w:val="22"/>
          <w:szCs w:val="22"/>
        </w:rPr>
        <w:t xml:space="preserve">Participation in IDX is available to all MLS participants who are REALTORS® who are engaged in real estate brokerage and who consent to display of their listings by other participants. </w:t>
      </w:r>
      <w:r w:rsidRPr="0093012F">
        <w:rPr>
          <w:rFonts w:cs="Arial"/>
          <w:i/>
          <w:iCs/>
          <w:sz w:val="22"/>
          <w:szCs w:val="22"/>
        </w:rPr>
        <w:t>(Amended 11/09)</w:t>
      </w:r>
      <w:r w:rsidRPr="0093012F">
        <w:rPr>
          <w:rFonts w:cs="Arial"/>
          <w:sz w:val="22"/>
          <w:szCs w:val="22"/>
        </w:rPr>
        <w:t xml:space="preserve"> </w:t>
      </w:r>
      <w:r w:rsidRPr="0093012F">
        <w:rPr>
          <w:rFonts w:cs="Arial"/>
          <w:sz w:val="22"/>
          <w:szCs w:val="22"/>
        </w:rPr>
        <w:br/>
      </w:r>
      <w:r w:rsidRPr="0093012F">
        <w:rPr>
          <w:rFonts w:cs="Arial"/>
          <w:sz w:val="22"/>
          <w:szCs w:val="22"/>
        </w:rPr>
        <w:br/>
      </w:r>
      <w:r w:rsidRPr="0093012F">
        <w:rPr>
          <w:rFonts w:cs="Arial"/>
          <w:bCs/>
          <w:sz w:val="22"/>
          <w:szCs w:val="22"/>
          <w:u w:val="single"/>
        </w:rPr>
        <w:t xml:space="preserve">Section </w:t>
      </w:r>
      <w:r w:rsidRPr="00452C85">
        <w:rPr>
          <w:rFonts w:cs="Arial"/>
          <w:bCs/>
          <w:sz w:val="22"/>
          <w:szCs w:val="22"/>
          <w:u w:val="single"/>
        </w:rPr>
        <w:t>16.2.1</w:t>
      </w:r>
      <w:r w:rsidRPr="0093012F">
        <w:rPr>
          <w:rFonts w:cs="Arial"/>
          <w:sz w:val="22"/>
          <w:szCs w:val="22"/>
        </w:rPr>
        <w:t xml:space="preserve"> </w:t>
      </w:r>
    </w:p>
    <w:p w14:paraId="70902C3C" w14:textId="77777777" w:rsidR="00FA3D38" w:rsidRPr="0093012F" w:rsidRDefault="00FA3D38" w:rsidP="00FA3D38">
      <w:pPr>
        <w:tabs>
          <w:tab w:val="left" w:pos="3330"/>
        </w:tabs>
        <w:autoSpaceDE w:val="0"/>
        <w:autoSpaceDN w:val="0"/>
        <w:adjustRightInd w:val="0"/>
        <w:spacing w:after="0"/>
        <w:rPr>
          <w:rFonts w:cs="Arial"/>
          <w:sz w:val="22"/>
          <w:szCs w:val="22"/>
        </w:rPr>
      </w:pPr>
      <w:r w:rsidRPr="0093012F">
        <w:rPr>
          <w:rFonts w:cs="Arial"/>
          <w:sz w:val="22"/>
          <w:szCs w:val="22"/>
        </w:rPr>
        <w:t>Participants must notify the MLS of their intention to display IDX information and must give the MLS direct access for purposes of monitoring/ensuring compliance with applicable rules and policies.</w:t>
      </w:r>
      <w:r w:rsidRPr="0093012F">
        <w:rPr>
          <w:rFonts w:cs="Arial"/>
          <w:iCs/>
          <w:sz w:val="22"/>
          <w:szCs w:val="22"/>
        </w:rPr>
        <w:t xml:space="preserve"> (Amended 05/12)</w:t>
      </w:r>
      <w:r w:rsidRPr="0093012F">
        <w:rPr>
          <w:rFonts w:cs="Arial"/>
          <w:sz w:val="22"/>
          <w:szCs w:val="22"/>
        </w:rPr>
        <w:t xml:space="preserve">  </w:t>
      </w:r>
    </w:p>
    <w:p w14:paraId="65FDEEC2" w14:textId="77777777" w:rsidR="00FA3D38" w:rsidRPr="00452C85" w:rsidRDefault="00FA3D38" w:rsidP="00FA3D38">
      <w:pPr>
        <w:spacing w:before="0" w:after="0"/>
        <w:rPr>
          <w:rFonts w:cs="Arial"/>
          <w:sz w:val="22"/>
          <w:szCs w:val="22"/>
          <w:u w:val="single"/>
        </w:rPr>
      </w:pPr>
      <w:r w:rsidRPr="0093012F">
        <w:rPr>
          <w:rFonts w:cs="Arial"/>
          <w:sz w:val="22"/>
          <w:szCs w:val="22"/>
        </w:rPr>
        <w:br/>
      </w:r>
      <w:r w:rsidRPr="00452C85">
        <w:rPr>
          <w:rFonts w:cs="Arial"/>
          <w:sz w:val="22"/>
          <w:szCs w:val="22"/>
          <w:u w:val="single"/>
        </w:rPr>
        <w:t>Section 16.2.2</w:t>
      </w:r>
    </w:p>
    <w:p w14:paraId="59BD7725" w14:textId="77777777" w:rsidR="00FA3D38" w:rsidRPr="0093012F" w:rsidRDefault="00FA3D38" w:rsidP="00FA3D38">
      <w:pPr>
        <w:autoSpaceDE w:val="0"/>
        <w:autoSpaceDN w:val="0"/>
        <w:adjustRightInd w:val="0"/>
        <w:spacing w:after="0"/>
        <w:rPr>
          <w:rFonts w:cs="Arial"/>
          <w:sz w:val="22"/>
          <w:szCs w:val="22"/>
        </w:rPr>
      </w:pPr>
      <w:r w:rsidRPr="0093012F">
        <w:rPr>
          <w:rFonts w:cs="Arial"/>
          <w:sz w:val="22"/>
          <w:szCs w:val="22"/>
        </w:rPr>
        <w:t xml:space="preserve">MLS participants may not use IDX-provided listings for any purpose other than display as provided for in these rules.  This does not require participants to prevent indexing of IDX listings by recognized search engines. </w:t>
      </w:r>
      <w:r w:rsidRPr="0093012F">
        <w:rPr>
          <w:rFonts w:cs="Arial"/>
          <w:iCs/>
          <w:sz w:val="22"/>
          <w:szCs w:val="22"/>
        </w:rPr>
        <w:t>(Amended 05/12)</w:t>
      </w:r>
      <w:r w:rsidRPr="0093012F">
        <w:rPr>
          <w:rFonts w:cs="Arial"/>
          <w:sz w:val="22"/>
          <w:szCs w:val="22"/>
        </w:rPr>
        <w:t xml:space="preserve"> </w:t>
      </w:r>
    </w:p>
    <w:p w14:paraId="5490AB25" w14:textId="77777777" w:rsidR="00FA3D38" w:rsidRDefault="00FA3D38" w:rsidP="00FA3D38">
      <w:pPr>
        <w:spacing w:before="0" w:after="0"/>
        <w:rPr>
          <w:rFonts w:cs="Arial"/>
          <w:sz w:val="22"/>
          <w:szCs w:val="22"/>
        </w:rPr>
      </w:pPr>
      <w:r w:rsidRPr="0093012F">
        <w:rPr>
          <w:rFonts w:cs="Arial"/>
          <w:sz w:val="22"/>
          <w:szCs w:val="22"/>
        </w:rPr>
        <w:br/>
      </w:r>
      <w:r w:rsidRPr="0093012F">
        <w:rPr>
          <w:rFonts w:cs="Arial"/>
          <w:bCs/>
          <w:sz w:val="22"/>
          <w:szCs w:val="22"/>
          <w:u w:val="single"/>
        </w:rPr>
        <w:t xml:space="preserve">Section </w:t>
      </w:r>
      <w:r w:rsidRPr="00452C85">
        <w:rPr>
          <w:rFonts w:cs="Arial"/>
          <w:sz w:val="22"/>
          <w:szCs w:val="22"/>
          <w:u w:val="single"/>
        </w:rPr>
        <w:t>16.2.3</w:t>
      </w:r>
    </w:p>
    <w:p w14:paraId="4D028913" w14:textId="77777777" w:rsidR="00FA3D38" w:rsidRPr="0093012F" w:rsidRDefault="00FA3D38" w:rsidP="00FA3D38">
      <w:pPr>
        <w:spacing w:before="0" w:after="0"/>
        <w:rPr>
          <w:rFonts w:cs="Arial"/>
          <w:sz w:val="22"/>
          <w:szCs w:val="22"/>
        </w:rPr>
      </w:pPr>
      <w:r w:rsidRPr="0093012F">
        <w:rPr>
          <w:rFonts w:cs="Arial"/>
          <w:sz w:val="22"/>
          <w:szCs w:val="22"/>
        </w:rPr>
        <w:t>Listings, including property addresses, can be included in IDX displays except where a seller</w:t>
      </w:r>
      <w:r w:rsidRPr="0093012F">
        <w:rPr>
          <w:rFonts w:cs="Arial"/>
          <w:strike/>
          <w:sz w:val="22"/>
          <w:szCs w:val="22"/>
        </w:rPr>
        <w:t xml:space="preserve"> </w:t>
      </w:r>
      <w:r w:rsidRPr="0093012F">
        <w:rPr>
          <w:rFonts w:cs="Arial"/>
          <w:sz w:val="22"/>
          <w:szCs w:val="22"/>
        </w:rPr>
        <w:t>has directed their listing broker to withhold their listing or the listing’s property address from all display on the Internet (including, but not limited to, publicly accessible websites or VOWs)</w:t>
      </w:r>
      <w:r>
        <w:rPr>
          <w:rFonts w:cs="Arial"/>
          <w:sz w:val="22"/>
          <w:szCs w:val="22"/>
        </w:rPr>
        <w:t xml:space="preserve"> </w:t>
      </w:r>
      <w:r w:rsidRPr="00452C85">
        <w:rPr>
          <w:rFonts w:cs="Arial"/>
          <w:sz w:val="22"/>
          <w:szCs w:val="22"/>
        </w:rPr>
        <w:t xml:space="preserve">or other electronic forms of display or distribution. </w:t>
      </w:r>
      <w:r w:rsidRPr="00452C85">
        <w:rPr>
          <w:rFonts w:cs="Arial"/>
          <w:iCs/>
          <w:sz w:val="22"/>
          <w:szCs w:val="22"/>
        </w:rPr>
        <w:t>(Amend</w:t>
      </w:r>
      <w:r w:rsidRPr="0093012F">
        <w:rPr>
          <w:rFonts w:cs="Arial"/>
          <w:iCs/>
          <w:sz w:val="22"/>
          <w:szCs w:val="22"/>
        </w:rPr>
        <w:t>ed 05/1</w:t>
      </w:r>
      <w:r>
        <w:rPr>
          <w:rFonts w:cs="Arial"/>
          <w:iCs/>
          <w:sz w:val="22"/>
          <w:szCs w:val="22"/>
        </w:rPr>
        <w:t>7</w:t>
      </w:r>
      <w:r w:rsidRPr="0093012F">
        <w:rPr>
          <w:rFonts w:cs="Arial"/>
          <w:iCs/>
          <w:sz w:val="22"/>
          <w:szCs w:val="22"/>
        </w:rPr>
        <w:t>)</w:t>
      </w:r>
      <w:r w:rsidRPr="0093012F">
        <w:rPr>
          <w:rFonts w:cs="Arial"/>
          <w:sz w:val="22"/>
          <w:szCs w:val="22"/>
        </w:rPr>
        <w:t xml:space="preserve"> </w:t>
      </w:r>
    </w:p>
    <w:p w14:paraId="7551878C" w14:textId="77777777" w:rsidR="00FA3D38" w:rsidRPr="00452C85" w:rsidRDefault="00FA3D38" w:rsidP="00FA3D38">
      <w:pPr>
        <w:spacing w:before="0" w:after="0"/>
        <w:rPr>
          <w:rFonts w:cs="Arial"/>
          <w:sz w:val="22"/>
          <w:szCs w:val="22"/>
          <w:u w:val="single"/>
        </w:rPr>
      </w:pPr>
      <w:r w:rsidRPr="0093012F">
        <w:rPr>
          <w:rFonts w:cs="Arial"/>
          <w:sz w:val="22"/>
          <w:szCs w:val="22"/>
        </w:rPr>
        <w:br/>
      </w:r>
      <w:r w:rsidRPr="0093012F">
        <w:rPr>
          <w:rFonts w:cs="Arial"/>
          <w:bCs/>
          <w:sz w:val="22"/>
          <w:szCs w:val="22"/>
          <w:u w:val="single"/>
        </w:rPr>
        <w:t xml:space="preserve">Section </w:t>
      </w:r>
      <w:r w:rsidRPr="00452C85">
        <w:rPr>
          <w:rFonts w:cs="Arial"/>
          <w:sz w:val="22"/>
          <w:szCs w:val="22"/>
          <w:u w:val="single"/>
        </w:rPr>
        <w:t>16.2.4</w:t>
      </w:r>
    </w:p>
    <w:p w14:paraId="53CA0A68" w14:textId="77777777" w:rsidR="00FA3D38" w:rsidRPr="0093012F" w:rsidRDefault="00FA3D38" w:rsidP="00FA3D38">
      <w:pPr>
        <w:spacing w:before="0" w:after="0"/>
        <w:rPr>
          <w:rFonts w:cs="Arial"/>
          <w:bCs/>
          <w:sz w:val="22"/>
          <w:szCs w:val="22"/>
          <w:u w:val="single"/>
        </w:rPr>
      </w:pPr>
      <w:r w:rsidRPr="0093012F">
        <w:rPr>
          <w:rFonts w:cs="Arial"/>
          <w:sz w:val="22"/>
          <w:szCs w:val="22"/>
        </w:rPr>
        <w:t xml:space="preserve">Participants may select the listings they choose to </w:t>
      </w:r>
      <w:r w:rsidRPr="00452C85">
        <w:rPr>
          <w:rFonts w:cs="Arial"/>
          <w:sz w:val="22"/>
          <w:szCs w:val="22"/>
        </w:rPr>
        <w:t>display through IDX</w:t>
      </w:r>
      <w:r w:rsidRPr="0093012F">
        <w:rPr>
          <w:rFonts w:cs="Arial"/>
          <w:sz w:val="22"/>
          <w:szCs w:val="22"/>
        </w:rPr>
        <w:t xml:space="preserve"> based only on objective criteria including, but not limited to, factors such as geography or location (“uptown,” “downtown,” etc.), list price,</w:t>
      </w:r>
      <w:r>
        <w:rPr>
          <w:rFonts w:cs="Arial"/>
          <w:sz w:val="22"/>
          <w:szCs w:val="22"/>
        </w:rPr>
        <w:t xml:space="preserve"> or</w:t>
      </w:r>
      <w:r w:rsidRPr="0093012F">
        <w:rPr>
          <w:rFonts w:cs="Arial"/>
          <w:sz w:val="22"/>
          <w:szCs w:val="22"/>
        </w:rPr>
        <w:t xml:space="preserve"> type of property (e.g., condominiums, cooperatives, single-family detached, multi-family), </w:t>
      </w:r>
      <w:r>
        <w:rPr>
          <w:rFonts w:cs="Arial"/>
          <w:sz w:val="22"/>
          <w:szCs w:val="22"/>
        </w:rPr>
        <w:t>or</w:t>
      </w:r>
      <w:r w:rsidRPr="0093012F">
        <w:rPr>
          <w:rFonts w:cs="Arial"/>
          <w:sz w:val="22"/>
          <w:szCs w:val="22"/>
        </w:rPr>
        <w:t xml:space="preserve"> type of listing (e.g., exclusive right-to-sell, or exclusive agency). Selection of listings displayed </w:t>
      </w:r>
      <w:r w:rsidRPr="00452C85">
        <w:rPr>
          <w:rFonts w:cs="Arial"/>
          <w:sz w:val="22"/>
          <w:szCs w:val="22"/>
        </w:rPr>
        <w:t>through IDX</w:t>
      </w:r>
      <w:r w:rsidRPr="0093012F">
        <w:rPr>
          <w:rFonts w:cs="Arial"/>
          <w:sz w:val="22"/>
          <w:szCs w:val="22"/>
        </w:rPr>
        <w:t xml:space="preserve"> must be independently made by each participant. </w:t>
      </w:r>
      <w:r w:rsidRPr="0093012F">
        <w:rPr>
          <w:rFonts w:cs="Arial"/>
          <w:i/>
          <w:iCs/>
          <w:sz w:val="22"/>
          <w:szCs w:val="22"/>
        </w:rPr>
        <w:t xml:space="preserve">(Amended </w:t>
      </w:r>
      <w:r>
        <w:rPr>
          <w:rFonts w:cs="Arial"/>
          <w:i/>
          <w:iCs/>
          <w:sz w:val="22"/>
          <w:szCs w:val="22"/>
        </w:rPr>
        <w:t>03/22</w:t>
      </w:r>
      <w:r w:rsidRPr="0093012F">
        <w:rPr>
          <w:rFonts w:cs="Arial"/>
          <w:i/>
          <w:iCs/>
          <w:sz w:val="22"/>
          <w:szCs w:val="22"/>
        </w:rPr>
        <w:t>)</w:t>
      </w:r>
      <w:r w:rsidRPr="0093012F">
        <w:rPr>
          <w:rFonts w:cs="Arial"/>
          <w:sz w:val="22"/>
          <w:szCs w:val="22"/>
        </w:rPr>
        <w:t xml:space="preserve"> </w:t>
      </w:r>
      <w:r w:rsidRPr="0093012F">
        <w:rPr>
          <w:rFonts w:cs="Arial"/>
          <w:sz w:val="22"/>
          <w:szCs w:val="22"/>
        </w:rPr>
        <w:br/>
      </w:r>
    </w:p>
    <w:p w14:paraId="08FE1E10" w14:textId="77777777" w:rsidR="00FA3D38" w:rsidRPr="0093012F" w:rsidRDefault="00FA3D38" w:rsidP="00FA3D38">
      <w:pPr>
        <w:spacing w:before="0" w:after="0"/>
        <w:rPr>
          <w:rFonts w:cs="Arial"/>
          <w:sz w:val="22"/>
          <w:szCs w:val="22"/>
        </w:rPr>
      </w:pPr>
      <w:r w:rsidRPr="0093012F">
        <w:rPr>
          <w:rFonts w:cs="Arial"/>
          <w:bCs/>
          <w:sz w:val="22"/>
          <w:szCs w:val="22"/>
          <w:u w:val="single"/>
        </w:rPr>
        <w:t xml:space="preserve">Section </w:t>
      </w:r>
      <w:r>
        <w:rPr>
          <w:rFonts w:cs="Arial"/>
          <w:bCs/>
          <w:sz w:val="22"/>
          <w:szCs w:val="22"/>
          <w:u w:val="single"/>
        </w:rPr>
        <w:t>16.2.5</w:t>
      </w:r>
      <w:r w:rsidRPr="0093012F">
        <w:rPr>
          <w:rFonts w:cs="Arial"/>
          <w:sz w:val="22"/>
          <w:szCs w:val="22"/>
        </w:rPr>
        <w:t xml:space="preserve"> </w:t>
      </w:r>
    </w:p>
    <w:p w14:paraId="17D3FCF8" w14:textId="77777777" w:rsidR="00FA3D38" w:rsidRDefault="00FA3D38" w:rsidP="00FA3D38">
      <w:pPr>
        <w:autoSpaceDE w:val="0"/>
        <w:autoSpaceDN w:val="0"/>
        <w:adjustRightInd w:val="0"/>
        <w:spacing w:after="0"/>
        <w:rPr>
          <w:rFonts w:cs="Arial"/>
          <w:sz w:val="22"/>
          <w:szCs w:val="22"/>
        </w:rPr>
      </w:pPr>
      <w:r w:rsidRPr="0093012F">
        <w:rPr>
          <w:rFonts w:cs="Arial"/>
          <w:sz w:val="22"/>
          <w:szCs w:val="22"/>
        </w:rPr>
        <w:t xml:space="preserve">Participants must refresh all MLS downloads and displays automatically fed by those downloads </w:t>
      </w:r>
      <w:r w:rsidRPr="00486410">
        <w:rPr>
          <w:rFonts w:cs="Arial"/>
          <w:sz w:val="22"/>
          <w:szCs w:val="22"/>
        </w:rPr>
        <w:t>not less frequently than every 12 hours</w:t>
      </w:r>
      <w:r w:rsidRPr="0093012F">
        <w:rPr>
          <w:rFonts w:cs="Arial"/>
          <w:sz w:val="22"/>
          <w:szCs w:val="22"/>
        </w:rPr>
        <w:t xml:space="preserve">. </w:t>
      </w:r>
      <w:r w:rsidRPr="0093012F">
        <w:rPr>
          <w:rFonts w:cs="Arial"/>
          <w:iCs/>
          <w:sz w:val="22"/>
          <w:szCs w:val="22"/>
        </w:rPr>
        <w:t>(</w:t>
      </w:r>
      <w:r w:rsidRPr="00C764B0">
        <w:rPr>
          <w:rFonts w:cs="Arial"/>
          <w:iCs/>
          <w:sz w:val="22"/>
          <w:szCs w:val="22"/>
        </w:rPr>
        <w:t>Amended</w:t>
      </w:r>
      <w:r>
        <w:rPr>
          <w:rFonts w:cs="Arial"/>
          <w:iCs/>
          <w:sz w:val="22"/>
          <w:szCs w:val="22"/>
        </w:rPr>
        <w:t xml:space="preserve"> </w:t>
      </w:r>
      <w:r w:rsidRPr="00486410">
        <w:rPr>
          <w:rFonts w:cs="Arial"/>
          <w:iCs/>
          <w:sz w:val="22"/>
          <w:szCs w:val="22"/>
        </w:rPr>
        <w:t>11/14</w:t>
      </w:r>
      <w:r w:rsidRPr="0093012F">
        <w:rPr>
          <w:rFonts w:cs="Arial"/>
          <w:iCs/>
          <w:sz w:val="22"/>
          <w:szCs w:val="22"/>
        </w:rPr>
        <w:t>)</w:t>
      </w:r>
      <w:r w:rsidRPr="0093012F">
        <w:rPr>
          <w:rFonts w:cs="Arial"/>
          <w:sz w:val="22"/>
          <w:szCs w:val="22"/>
        </w:rPr>
        <w:t xml:space="preserve"> </w:t>
      </w:r>
    </w:p>
    <w:p w14:paraId="3A9C6F90" w14:textId="77777777" w:rsidR="00FA3D38" w:rsidRPr="0093012F" w:rsidRDefault="00FA3D38" w:rsidP="00FA3D38">
      <w:pPr>
        <w:spacing w:before="0" w:after="0"/>
        <w:rPr>
          <w:rFonts w:cs="Arial"/>
          <w:sz w:val="22"/>
          <w:szCs w:val="22"/>
          <w:u w:val="single"/>
        </w:rPr>
      </w:pPr>
      <w:r w:rsidRPr="0093012F">
        <w:rPr>
          <w:rFonts w:cs="Arial"/>
          <w:sz w:val="22"/>
          <w:szCs w:val="22"/>
        </w:rPr>
        <w:lastRenderedPageBreak/>
        <w:br/>
      </w:r>
      <w:r w:rsidRPr="0093012F">
        <w:rPr>
          <w:rFonts w:cs="Arial"/>
          <w:bCs/>
          <w:sz w:val="22"/>
          <w:szCs w:val="22"/>
          <w:u w:val="single"/>
        </w:rPr>
        <w:t xml:space="preserve">Section </w:t>
      </w:r>
      <w:r w:rsidRPr="00452C85">
        <w:rPr>
          <w:rFonts w:cs="Arial"/>
          <w:bCs/>
          <w:sz w:val="22"/>
          <w:szCs w:val="22"/>
          <w:u w:val="single"/>
        </w:rPr>
        <w:t>16.2.6</w:t>
      </w:r>
      <w:r w:rsidRPr="0093012F">
        <w:rPr>
          <w:rFonts w:cs="Arial"/>
          <w:sz w:val="22"/>
          <w:szCs w:val="22"/>
          <w:u w:val="single"/>
        </w:rPr>
        <w:t xml:space="preserve"> </w:t>
      </w:r>
    </w:p>
    <w:p w14:paraId="1E70CD5E" w14:textId="77777777" w:rsidR="00FA3D38" w:rsidRPr="0093012F" w:rsidRDefault="00FA3D38" w:rsidP="00FA3D38">
      <w:pPr>
        <w:autoSpaceDE w:val="0"/>
        <w:autoSpaceDN w:val="0"/>
        <w:adjustRightInd w:val="0"/>
        <w:spacing w:after="0"/>
        <w:rPr>
          <w:rFonts w:cs="Arial"/>
          <w:sz w:val="22"/>
          <w:szCs w:val="22"/>
        </w:rPr>
      </w:pPr>
      <w:r w:rsidRPr="0093012F">
        <w:rPr>
          <w:rFonts w:cs="Arial"/>
          <w:sz w:val="22"/>
          <w:szCs w:val="22"/>
        </w:rPr>
        <w:t xml:space="preserve">Except as provided in the IDX policy and these rules, an IDX site or a participant or user operating an IDX site or displaying IDX information as otherwise permitted may not distribute, provide, or make any portion of the MLS database available to any person or entity. </w:t>
      </w:r>
      <w:r w:rsidRPr="0093012F">
        <w:rPr>
          <w:rFonts w:cs="Arial"/>
          <w:iCs/>
          <w:sz w:val="22"/>
          <w:szCs w:val="22"/>
        </w:rPr>
        <w:t>(Amended 05/12)</w:t>
      </w:r>
      <w:r w:rsidRPr="0093012F">
        <w:rPr>
          <w:rFonts w:cs="Arial"/>
          <w:sz w:val="22"/>
          <w:szCs w:val="22"/>
        </w:rPr>
        <w:t xml:space="preserve"> </w:t>
      </w:r>
    </w:p>
    <w:p w14:paraId="688351C2" w14:textId="77777777" w:rsidR="00FA3D38" w:rsidRPr="00452C85" w:rsidRDefault="00FA3D38" w:rsidP="00FA3D38">
      <w:pPr>
        <w:spacing w:before="0" w:after="0"/>
        <w:rPr>
          <w:rFonts w:cs="Arial"/>
          <w:bCs/>
          <w:sz w:val="22"/>
          <w:szCs w:val="22"/>
          <w:u w:val="single"/>
        </w:rPr>
      </w:pPr>
      <w:r w:rsidRPr="0093012F">
        <w:rPr>
          <w:rFonts w:cs="Arial"/>
          <w:sz w:val="22"/>
          <w:szCs w:val="22"/>
        </w:rPr>
        <w:br/>
      </w:r>
      <w:r w:rsidRPr="0093012F">
        <w:rPr>
          <w:rFonts w:cs="Arial"/>
          <w:bCs/>
          <w:sz w:val="22"/>
          <w:szCs w:val="22"/>
          <w:u w:val="single"/>
        </w:rPr>
        <w:t xml:space="preserve">Section </w:t>
      </w:r>
      <w:r>
        <w:rPr>
          <w:rFonts w:cs="Arial"/>
          <w:bCs/>
          <w:sz w:val="22"/>
          <w:szCs w:val="22"/>
          <w:u w:val="single"/>
        </w:rPr>
        <w:t>16.2.7</w:t>
      </w:r>
      <w:r w:rsidRPr="0093012F">
        <w:rPr>
          <w:rFonts w:cs="Arial"/>
          <w:sz w:val="22"/>
          <w:szCs w:val="22"/>
          <w:u w:val="single"/>
        </w:rPr>
        <w:t xml:space="preserve"> </w:t>
      </w:r>
    </w:p>
    <w:p w14:paraId="10E46BAD" w14:textId="77777777" w:rsidR="00FA3D38" w:rsidRPr="0093012F" w:rsidRDefault="00FA3D38" w:rsidP="00FA3D38">
      <w:pPr>
        <w:autoSpaceDE w:val="0"/>
        <w:autoSpaceDN w:val="0"/>
        <w:adjustRightInd w:val="0"/>
        <w:spacing w:after="0"/>
        <w:rPr>
          <w:rFonts w:cs="Arial"/>
          <w:i/>
          <w:sz w:val="22"/>
          <w:szCs w:val="22"/>
        </w:rPr>
      </w:pPr>
      <w:r w:rsidRPr="0093012F">
        <w:rPr>
          <w:rFonts w:cs="Arial"/>
          <w:sz w:val="22"/>
          <w:szCs w:val="22"/>
        </w:rPr>
        <w:t xml:space="preserve">Any IDX display controlled by a participant must clearly identify the name of the brokerage firm under which they operate in a readily visible color and typeface.  For purposes of the IDX policy and these rules, “control” means the ability to add, delete, </w:t>
      </w:r>
      <w:proofErr w:type="gramStart"/>
      <w:r w:rsidRPr="0093012F">
        <w:rPr>
          <w:rFonts w:cs="Arial"/>
          <w:sz w:val="22"/>
          <w:szCs w:val="22"/>
        </w:rPr>
        <w:t>modify</w:t>
      </w:r>
      <w:proofErr w:type="gramEnd"/>
      <w:r w:rsidRPr="0093012F">
        <w:rPr>
          <w:rFonts w:cs="Arial"/>
          <w:sz w:val="22"/>
          <w:szCs w:val="22"/>
        </w:rPr>
        <w:t xml:space="preserve"> and update information as required by the IDX policy and MLS rules.  </w:t>
      </w:r>
      <w:r w:rsidRPr="0093012F">
        <w:rPr>
          <w:rFonts w:cs="Arial"/>
          <w:iCs/>
          <w:sz w:val="22"/>
          <w:szCs w:val="22"/>
        </w:rPr>
        <w:t>(Amended 05/12)</w:t>
      </w:r>
      <w:r w:rsidRPr="0093012F">
        <w:rPr>
          <w:rFonts w:cs="Arial"/>
          <w:sz w:val="22"/>
          <w:szCs w:val="22"/>
        </w:rPr>
        <w:t xml:space="preserve">  </w:t>
      </w:r>
      <w:r w:rsidRPr="0093012F">
        <w:rPr>
          <w:rFonts w:cs="Arial"/>
          <w:sz w:val="22"/>
          <w:szCs w:val="22"/>
        </w:rPr>
        <w:br/>
      </w:r>
      <w:r w:rsidRPr="0093012F">
        <w:rPr>
          <w:rFonts w:cs="Arial"/>
          <w:sz w:val="22"/>
          <w:szCs w:val="22"/>
        </w:rPr>
        <w:br/>
      </w:r>
      <w:r w:rsidRPr="0093012F">
        <w:rPr>
          <w:rFonts w:cs="Arial"/>
          <w:bCs/>
          <w:sz w:val="22"/>
          <w:szCs w:val="22"/>
          <w:u w:val="single"/>
        </w:rPr>
        <w:t xml:space="preserve">Section </w:t>
      </w:r>
      <w:r>
        <w:rPr>
          <w:rFonts w:cs="Arial"/>
          <w:bCs/>
          <w:sz w:val="22"/>
          <w:szCs w:val="22"/>
          <w:u w:val="single"/>
        </w:rPr>
        <w:t>16.2.8</w:t>
      </w:r>
      <w:r w:rsidRPr="0093012F">
        <w:rPr>
          <w:rFonts w:cs="Arial"/>
          <w:sz w:val="22"/>
          <w:szCs w:val="22"/>
          <w:u w:val="single"/>
        </w:rPr>
        <w:t xml:space="preserve"> </w:t>
      </w:r>
    </w:p>
    <w:p w14:paraId="26038A6A" w14:textId="77777777" w:rsidR="00FA3D38" w:rsidRPr="0093012F" w:rsidRDefault="00FA3D38" w:rsidP="00FA3D38">
      <w:pPr>
        <w:spacing w:before="0" w:after="0"/>
        <w:rPr>
          <w:rFonts w:cs="Arial"/>
          <w:sz w:val="22"/>
          <w:szCs w:val="22"/>
        </w:rPr>
      </w:pPr>
      <w:r w:rsidRPr="0093012F">
        <w:rPr>
          <w:rFonts w:cs="Arial"/>
          <w:sz w:val="22"/>
          <w:szCs w:val="22"/>
        </w:rPr>
        <w:t xml:space="preserve">Any IDX site that </w:t>
      </w:r>
    </w:p>
    <w:p w14:paraId="70E1D1AE" w14:textId="77777777" w:rsidR="00FA3D38" w:rsidRPr="0093012F" w:rsidRDefault="00FA3D38" w:rsidP="00FA3D38">
      <w:pPr>
        <w:numPr>
          <w:ilvl w:val="0"/>
          <w:numId w:val="1"/>
        </w:numPr>
        <w:spacing w:before="0" w:after="0"/>
        <w:rPr>
          <w:rFonts w:cs="Arial"/>
          <w:sz w:val="22"/>
          <w:szCs w:val="22"/>
        </w:rPr>
      </w:pPr>
      <w:r w:rsidRPr="0093012F">
        <w:rPr>
          <w:rFonts w:cs="Arial"/>
          <w:sz w:val="22"/>
          <w:szCs w:val="22"/>
        </w:rPr>
        <w:t xml:space="preserve">allows </w:t>
      </w:r>
      <w:proofErr w:type="gramStart"/>
      <w:r w:rsidRPr="0093012F">
        <w:rPr>
          <w:rFonts w:cs="Arial"/>
          <w:sz w:val="22"/>
          <w:szCs w:val="22"/>
        </w:rPr>
        <w:t>third-parties</w:t>
      </w:r>
      <w:proofErr w:type="gramEnd"/>
      <w:r w:rsidRPr="0093012F">
        <w:rPr>
          <w:rFonts w:cs="Arial"/>
          <w:sz w:val="22"/>
          <w:szCs w:val="22"/>
        </w:rPr>
        <w:t xml:space="preserve"> to write comments or reviews about particular listings or displays a hyperlink to such comments or reviews in immediate conjunction with particular listings, or </w:t>
      </w:r>
    </w:p>
    <w:p w14:paraId="223603DD" w14:textId="77777777" w:rsidR="00FA3D38" w:rsidRPr="0093012F" w:rsidRDefault="00FA3D38" w:rsidP="00FA3D38">
      <w:pPr>
        <w:numPr>
          <w:ilvl w:val="0"/>
          <w:numId w:val="1"/>
        </w:numPr>
        <w:spacing w:before="0" w:after="0"/>
        <w:rPr>
          <w:rFonts w:cs="Arial"/>
          <w:sz w:val="22"/>
          <w:szCs w:val="22"/>
        </w:rPr>
      </w:pPr>
      <w:r w:rsidRPr="0093012F">
        <w:rPr>
          <w:rFonts w:cs="Arial"/>
          <w:sz w:val="22"/>
          <w:szCs w:val="22"/>
        </w:rPr>
        <w:t>displays an automated estimate of the market value of the listing (or hyperlink to such estimate) in immediate conjunction with the listing,</w:t>
      </w:r>
    </w:p>
    <w:p w14:paraId="0D3EEE4F" w14:textId="77777777" w:rsidR="00FA3D38" w:rsidRPr="0093012F" w:rsidRDefault="00FA3D38" w:rsidP="00FA3D38">
      <w:pPr>
        <w:autoSpaceDE w:val="0"/>
        <w:autoSpaceDN w:val="0"/>
        <w:adjustRightInd w:val="0"/>
        <w:spacing w:after="0"/>
        <w:rPr>
          <w:rFonts w:cs="Arial"/>
          <w:sz w:val="22"/>
          <w:szCs w:val="22"/>
        </w:rPr>
      </w:pPr>
      <w:r w:rsidRPr="0093012F">
        <w:rPr>
          <w:rFonts w:cs="Arial"/>
          <w:sz w:val="22"/>
          <w:szCs w:val="22"/>
        </w:rPr>
        <w:t xml:space="preserve">either or both of those features shall be disabled or discontinued for the seller’s listings at the request of the seller.  The listing broker or agent shall communicate to the MLS that the seller has elected to have one or </w:t>
      </w:r>
      <w:proofErr w:type="gramStart"/>
      <w:r w:rsidRPr="0093012F">
        <w:rPr>
          <w:rFonts w:cs="Arial"/>
          <w:sz w:val="22"/>
          <w:szCs w:val="22"/>
        </w:rPr>
        <w:t>both of these</w:t>
      </w:r>
      <w:proofErr w:type="gramEnd"/>
      <w:r w:rsidRPr="0093012F">
        <w:rPr>
          <w:rFonts w:cs="Arial"/>
          <w:sz w:val="22"/>
          <w:szCs w:val="22"/>
        </w:rPr>
        <w:t xml:space="preserve"> features disabled or discontinued on all displays controlled by participants.  Except for the foregoing and subject to Section 18.2.9, a participant’s IDX display may communicate the participant’s professional judgment concerning any listing.  Nothing shall prevent an IDX display from notifying its customers that a particular feature has been disabled at the request of the seller. </w:t>
      </w:r>
      <w:r w:rsidRPr="0093012F">
        <w:rPr>
          <w:rFonts w:cs="Arial"/>
          <w:iCs/>
          <w:sz w:val="22"/>
          <w:szCs w:val="22"/>
        </w:rPr>
        <w:t>(Amended 05/12)</w:t>
      </w:r>
      <w:r w:rsidRPr="0093012F">
        <w:rPr>
          <w:rFonts w:cs="Arial"/>
          <w:sz w:val="22"/>
          <w:szCs w:val="22"/>
        </w:rPr>
        <w:t xml:space="preserve">  </w:t>
      </w:r>
    </w:p>
    <w:p w14:paraId="424908F1" w14:textId="77777777" w:rsidR="00FA3D38" w:rsidRPr="0093012F" w:rsidRDefault="00FA3D38" w:rsidP="00FA3D38">
      <w:pPr>
        <w:spacing w:before="0" w:after="0"/>
        <w:rPr>
          <w:rFonts w:cs="Arial"/>
          <w:sz w:val="22"/>
          <w:szCs w:val="22"/>
          <w:u w:val="single"/>
        </w:rPr>
      </w:pPr>
      <w:r w:rsidRPr="0093012F">
        <w:rPr>
          <w:rFonts w:cs="Arial"/>
          <w:sz w:val="22"/>
          <w:szCs w:val="22"/>
        </w:rPr>
        <w:br/>
      </w:r>
      <w:r w:rsidRPr="0093012F">
        <w:rPr>
          <w:rFonts w:cs="Arial"/>
          <w:bCs/>
          <w:sz w:val="22"/>
          <w:szCs w:val="22"/>
          <w:u w:val="single"/>
        </w:rPr>
        <w:t xml:space="preserve">Section </w:t>
      </w:r>
      <w:r>
        <w:rPr>
          <w:rFonts w:cs="Arial"/>
          <w:bCs/>
          <w:sz w:val="22"/>
          <w:szCs w:val="22"/>
          <w:u w:val="single"/>
        </w:rPr>
        <w:t>16.2.9</w:t>
      </w:r>
      <w:r w:rsidRPr="0093012F">
        <w:rPr>
          <w:rFonts w:cs="Arial"/>
          <w:sz w:val="22"/>
          <w:szCs w:val="22"/>
          <w:u w:val="single"/>
        </w:rPr>
        <w:t xml:space="preserve"> </w:t>
      </w:r>
    </w:p>
    <w:p w14:paraId="06E8E0E4" w14:textId="77777777" w:rsidR="00FA3D38" w:rsidRPr="0093012F" w:rsidRDefault="00FA3D38" w:rsidP="00FA3D38">
      <w:pPr>
        <w:spacing w:before="0" w:after="0"/>
        <w:rPr>
          <w:rFonts w:cs="Arial"/>
          <w:bCs/>
          <w:sz w:val="22"/>
          <w:szCs w:val="22"/>
        </w:rPr>
      </w:pPr>
      <w:r w:rsidRPr="0093012F">
        <w:rPr>
          <w:rFonts w:cs="Arial"/>
          <w:sz w:val="22"/>
          <w:szCs w:val="22"/>
        </w:rPr>
        <w:t xml:space="preserve">Participants shall maintain a means (e.g., e-mail address, telephone number) to receive comments about the accuracy of any data or information that is added by or on behalf of the participant beyond that supplied by the MLS and that relates to a specific property. Participants shall correct or remove any false data or information relating to a specific property upon receipt of a communication from the listing broker or listing agent for the property explaining why the data or information is false. However, participants shall not be obligated to remove or correct any data or information that simply reflects good faith opinion, advice, or professional judgment. </w:t>
      </w:r>
      <w:r w:rsidRPr="0093012F">
        <w:rPr>
          <w:rFonts w:cs="Arial"/>
          <w:i/>
          <w:iCs/>
          <w:sz w:val="22"/>
          <w:szCs w:val="22"/>
        </w:rPr>
        <w:t>(</w:t>
      </w:r>
      <w:r w:rsidRPr="0093012F">
        <w:rPr>
          <w:rFonts w:cs="Arial"/>
          <w:iCs/>
          <w:sz w:val="22"/>
          <w:szCs w:val="22"/>
        </w:rPr>
        <w:t>Amended 05/12</w:t>
      </w:r>
      <w:r w:rsidRPr="0093012F">
        <w:rPr>
          <w:rFonts w:cs="Arial"/>
          <w:i/>
          <w:iCs/>
          <w:sz w:val="22"/>
          <w:szCs w:val="22"/>
        </w:rPr>
        <w:t>)</w:t>
      </w:r>
      <w:r w:rsidRPr="0093012F">
        <w:rPr>
          <w:rFonts w:cs="Arial"/>
          <w:sz w:val="22"/>
          <w:szCs w:val="22"/>
        </w:rPr>
        <w:t xml:space="preserve"> </w:t>
      </w:r>
    </w:p>
    <w:p w14:paraId="2F084E6A" w14:textId="77777777" w:rsidR="00FA3D38" w:rsidRPr="0093012F" w:rsidRDefault="00FA3D38" w:rsidP="00FA3D38">
      <w:pPr>
        <w:spacing w:before="0" w:after="0"/>
        <w:rPr>
          <w:rFonts w:cs="Arial"/>
          <w:bCs/>
          <w:sz w:val="22"/>
          <w:szCs w:val="22"/>
        </w:rPr>
      </w:pPr>
    </w:p>
    <w:p w14:paraId="6CB50C33" w14:textId="77777777" w:rsidR="00FA3D38" w:rsidRPr="00486410" w:rsidRDefault="00FA3D38" w:rsidP="00FA3D38">
      <w:pPr>
        <w:autoSpaceDE w:val="0"/>
        <w:autoSpaceDN w:val="0"/>
        <w:adjustRightInd w:val="0"/>
        <w:spacing w:after="0"/>
        <w:rPr>
          <w:rFonts w:cs="Arial"/>
          <w:bCs/>
          <w:sz w:val="22"/>
          <w:szCs w:val="22"/>
        </w:rPr>
      </w:pPr>
      <w:r w:rsidRPr="0093012F">
        <w:rPr>
          <w:rFonts w:cs="Arial"/>
          <w:bCs/>
          <w:iCs/>
          <w:sz w:val="22"/>
          <w:szCs w:val="22"/>
          <w:u w:val="single"/>
        </w:rPr>
        <w:t xml:space="preserve">Section </w:t>
      </w:r>
      <w:r>
        <w:rPr>
          <w:rFonts w:cs="Arial"/>
          <w:bCs/>
          <w:iCs/>
          <w:sz w:val="22"/>
          <w:szCs w:val="22"/>
          <w:u w:val="single"/>
        </w:rPr>
        <w:t>16.2.10</w:t>
      </w:r>
      <w:r w:rsidRPr="0093012F">
        <w:rPr>
          <w:rFonts w:cs="Arial"/>
          <w:i/>
          <w:iCs/>
          <w:sz w:val="22"/>
          <w:szCs w:val="22"/>
        </w:rPr>
        <w:t xml:space="preserve">  </w:t>
      </w:r>
    </w:p>
    <w:p w14:paraId="78A1FC9B" w14:textId="77777777" w:rsidR="00FA3D38" w:rsidRDefault="00FA3D38" w:rsidP="00FA3D38">
      <w:pPr>
        <w:autoSpaceDE w:val="0"/>
        <w:autoSpaceDN w:val="0"/>
        <w:adjustRightInd w:val="0"/>
        <w:spacing w:after="0"/>
        <w:rPr>
          <w:rFonts w:cs="Arial"/>
          <w:iCs/>
          <w:sz w:val="22"/>
          <w:szCs w:val="22"/>
        </w:rPr>
      </w:pPr>
      <w:r w:rsidRPr="00150066">
        <w:rPr>
          <w:rFonts w:cs="Arial"/>
          <w:bCs/>
          <w:sz w:val="22"/>
          <w:szCs w:val="22"/>
        </w:rPr>
        <w:t xml:space="preserve">An MLS Participant (or </w:t>
      </w:r>
      <w:proofErr w:type="gramStart"/>
      <w:r w:rsidRPr="00150066">
        <w:rPr>
          <w:rFonts w:cs="Arial"/>
          <w:bCs/>
          <w:sz w:val="22"/>
          <w:szCs w:val="22"/>
        </w:rPr>
        <w:t>where</w:t>
      </w:r>
      <w:proofErr w:type="gramEnd"/>
      <w:r w:rsidRPr="00150066">
        <w:rPr>
          <w:rFonts w:cs="Arial"/>
          <w:bCs/>
          <w:sz w:val="22"/>
          <w:szCs w:val="22"/>
        </w:rPr>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w:t>
      </w:r>
      <w:proofErr w:type="gramStart"/>
      <w:r w:rsidRPr="00150066">
        <w:rPr>
          <w:rFonts w:cs="Arial"/>
          <w:bCs/>
          <w:sz w:val="22"/>
          <w:szCs w:val="22"/>
        </w:rPr>
        <w:t>are able to</w:t>
      </w:r>
      <w:proofErr w:type="gramEnd"/>
      <w:r w:rsidRPr="00150066">
        <w:rPr>
          <w:rFonts w:cs="Arial"/>
          <w:bCs/>
          <w:sz w:val="22"/>
          <w:szCs w:val="22"/>
        </w:rPr>
        <w:t xml:space="preserve"> execute a single property search of multiple IDX data feeds resulting in the display of IDX information from each of the MLSs on a single search results page; and that Participants may display listings from each IDX feed on a single webpage or display.</w:t>
      </w:r>
      <w:r>
        <w:rPr>
          <w:rFonts w:cs="Arial"/>
          <w:bCs/>
          <w:sz w:val="22"/>
          <w:szCs w:val="22"/>
        </w:rPr>
        <w:t xml:space="preserve">  </w:t>
      </w:r>
      <w:r w:rsidRPr="00150066">
        <w:rPr>
          <w:rFonts w:cs="Arial"/>
          <w:iCs/>
          <w:sz w:val="22"/>
          <w:szCs w:val="22"/>
        </w:rPr>
        <w:t>(Amended 11/14)</w:t>
      </w:r>
    </w:p>
    <w:p w14:paraId="7964BEB7" w14:textId="77777777" w:rsidR="00FA3D38" w:rsidRDefault="00FA3D38" w:rsidP="00FA3D38">
      <w:pPr>
        <w:autoSpaceDE w:val="0"/>
        <w:autoSpaceDN w:val="0"/>
        <w:adjustRightInd w:val="0"/>
        <w:spacing w:after="0"/>
        <w:rPr>
          <w:rFonts w:cs="Arial"/>
          <w:iCs/>
          <w:sz w:val="22"/>
          <w:szCs w:val="22"/>
          <w:u w:val="single"/>
        </w:rPr>
      </w:pPr>
    </w:p>
    <w:p w14:paraId="5F336485" w14:textId="77777777" w:rsidR="00FA3D38" w:rsidRDefault="00FA3D38" w:rsidP="00FA3D38">
      <w:pPr>
        <w:spacing w:before="0" w:after="0"/>
        <w:rPr>
          <w:rFonts w:cs="Arial"/>
          <w:bCs/>
          <w:sz w:val="22"/>
          <w:szCs w:val="22"/>
          <w:u w:val="single"/>
        </w:rPr>
      </w:pPr>
    </w:p>
    <w:p w14:paraId="28F56ECA" w14:textId="0EE0C006" w:rsidR="00FA3D38" w:rsidRDefault="00FA3D38" w:rsidP="00FA3D38">
      <w:pPr>
        <w:spacing w:before="0" w:after="0"/>
        <w:rPr>
          <w:rFonts w:cs="Arial"/>
          <w:bCs/>
          <w:sz w:val="22"/>
          <w:szCs w:val="22"/>
          <w:u w:val="single"/>
        </w:rPr>
      </w:pPr>
      <w:r w:rsidRPr="0093012F">
        <w:rPr>
          <w:rFonts w:cs="Arial"/>
          <w:bCs/>
          <w:sz w:val="22"/>
          <w:szCs w:val="22"/>
          <w:u w:val="single"/>
        </w:rPr>
        <w:lastRenderedPageBreak/>
        <w:t xml:space="preserve">Section </w:t>
      </w:r>
      <w:r>
        <w:rPr>
          <w:rFonts w:cs="Arial"/>
          <w:bCs/>
          <w:sz w:val="22"/>
          <w:szCs w:val="22"/>
          <w:u w:val="single"/>
        </w:rPr>
        <w:t>16.2.11</w:t>
      </w:r>
    </w:p>
    <w:p w14:paraId="6AA7FC0B" w14:textId="77777777" w:rsidR="00FA3D38" w:rsidRPr="00452C85" w:rsidRDefault="00FA3D38" w:rsidP="00FA3D38">
      <w:pPr>
        <w:spacing w:before="0" w:after="0"/>
        <w:rPr>
          <w:rFonts w:cs="Arial"/>
          <w:sz w:val="22"/>
          <w:szCs w:val="22"/>
        </w:rPr>
      </w:pPr>
      <w:r w:rsidRPr="00452C85">
        <w:rPr>
          <w:rFonts w:cs="Arial"/>
          <w:color w:val="231B18"/>
          <w:sz w:val="22"/>
          <w:szCs w:val="22"/>
          <w:shd w:val="clear" w:color="auto" w:fill="FFFFFF"/>
        </w:rPr>
        <w:t xml:space="preserve">Participants shall not modify or manipulate information relating to other participants' listings. MLS participants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w:t>
      </w:r>
      <w:proofErr w:type="gramStart"/>
      <w:r w:rsidRPr="00452C85">
        <w:rPr>
          <w:rFonts w:cs="Arial"/>
          <w:color w:val="231B18"/>
          <w:sz w:val="22"/>
          <w:szCs w:val="22"/>
          <w:shd w:val="clear" w:color="auto" w:fill="FFFFFF"/>
        </w:rPr>
        <w:t>all of</w:t>
      </w:r>
      <w:proofErr w:type="gramEnd"/>
      <w:r w:rsidRPr="00452C85">
        <w:rPr>
          <w:rFonts w:cs="Arial"/>
          <w:color w:val="231B18"/>
          <w:sz w:val="22"/>
          <w:szCs w:val="22"/>
          <w:shd w:val="clear" w:color="auto" w:fill="FFFFFF"/>
        </w:rPr>
        <w:t xml:space="preserve"> the available listings or fewer authorized fields. (Adopted 05/15) </w:t>
      </w:r>
    </w:p>
    <w:p w14:paraId="497D28D5" w14:textId="77777777" w:rsidR="00FA3D38" w:rsidRDefault="00FA3D38" w:rsidP="00FA3D38">
      <w:pPr>
        <w:autoSpaceDE w:val="0"/>
        <w:autoSpaceDN w:val="0"/>
        <w:adjustRightInd w:val="0"/>
        <w:spacing w:after="0"/>
        <w:rPr>
          <w:rFonts w:cs="Arial"/>
          <w:bCs/>
          <w:sz w:val="22"/>
          <w:szCs w:val="22"/>
          <w:u w:val="single"/>
        </w:rPr>
      </w:pPr>
    </w:p>
    <w:p w14:paraId="6194505D" w14:textId="77777777" w:rsidR="00FA3D38" w:rsidRDefault="00FA3D38" w:rsidP="00FA3D38">
      <w:pPr>
        <w:autoSpaceDE w:val="0"/>
        <w:autoSpaceDN w:val="0"/>
        <w:adjustRightInd w:val="0"/>
        <w:spacing w:after="0"/>
        <w:rPr>
          <w:rFonts w:cs="Arial"/>
          <w:bCs/>
          <w:sz w:val="22"/>
          <w:szCs w:val="22"/>
          <w:u w:val="single"/>
        </w:rPr>
      </w:pPr>
      <w:r w:rsidRPr="00452C85">
        <w:rPr>
          <w:rFonts w:cs="Arial"/>
          <w:bCs/>
          <w:sz w:val="22"/>
          <w:szCs w:val="22"/>
          <w:u w:val="single"/>
        </w:rPr>
        <w:t xml:space="preserve">Section 16.2.12 </w:t>
      </w:r>
    </w:p>
    <w:p w14:paraId="11DBE996" w14:textId="77777777" w:rsidR="00FA3D38" w:rsidRPr="00452C85" w:rsidRDefault="00FA3D38" w:rsidP="00FA3D38">
      <w:pPr>
        <w:autoSpaceDE w:val="0"/>
        <w:autoSpaceDN w:val="0"/>
        <w:adjustRightInd w:val="0"/>
        <w:spacing w:after="0"/>
        <w:rPr>
          <w:rFonts w:cs="Arial"/>
          <w:bCs/>
          <w:sz w:val="22"/>
          <w:szCs w:val="22"/>
        </w:rPr>
      </w:pPr>
      <w:r w:rsidRPr="00452C85">
        <w:rPr>
          <w:rFonts w:cs="Arial"/>
          <w:bCs/>
          <w:sz w:val="22"/>
          <w:szCs w:val="22"/>
        </w:rPr>
        <w:t>All listings displayed pursuant to IDX shall identify the listing firm</w:t>
      </w:r>
      <w:r>
        <w:rPr>
          <w:rFonts w:cs="Arial"/>
          <w:bCs/>
          <w:sz w:val="22"/>
          <w:szCs w:val="22"/>
        </w:rPr>
        <w:t>, and the email or phone number provided by the listing participant</w:t>
      </w:r>
      <w:r w:rsidRPr="00452C85">
        <w:rPr>
          <w:rFonts w:cs="Arial"/>
          <w:bCs/>
          <w:sz w:val="22"/>
          <w:szCs w:val="22"/>
        </w:rPr>
        <w:t xml:space="preserve"> in a reasonably prominent location and in a readily visible color and typeface not smaller than the median used in the display of listing data (amended </w:t>
      </w:r>
      <w:r>
        <w:rPr>
          <w:rFonts w:cs="Arial"/>
          <w:bCs/>
          <w:sz w:val="22"/>
          <w:szCs w:val="22"/>
        </w:rPr>
        <w:t>03/22</w:t>
      </w:r>
      <w:r w:rsidRPr="00452C85">
        <w:rPr>
          <w:rFonts w:cs="Arial"/>
          <w:bCs/>
          <w:sz w:val="22"/>
          <w:szCs w:val="22"/>
        </w:rPr>
        <w:t>)</w:t>
      </w:r>
      <w:r>
        <w:rPr>
          <w:rFonts w:cs="Arial"/>
          <w:bCs/>
          <w:sz w:val="22"/>
          <w:szCs w:val="22"/>
        </w:rPr>
        <w:t xml:space="preserve"> </w:t>
      </w:r>
      <w:r w:rsidRPr="00452C85">
        <w:rPr>
          <w:rFonts w:cs="Arial"/>
          <w:bCs/>
          <w:sz w:val="22"/>
          <w:szCs w:val="22"/>
        </w:rPr>
        <w:t>M</w:t>
      </w:r>
    </w:p>
    <w:p w14:paraId="3C9CE540" w14:textId="77777777" w:rsidR="00FA3D38" w:rsidRPr="00486410" w:rsidRDefault="00FA3D38" w:rsidP="00FA3D38">
      <w:pPr>
        <w:autoSpaceDE w:val="0"/>
        <w:autoSpaceDN w:val="0"/>
        <w:adjustRightInd w:val="0"/>
        <w:spacing w:after="0"/>
        <w:rPr>
          <w:rFonts w:cs="Arial"/>
          <w:bCs/>
          <w:sz w:val="22"/>
          <w:szCs w:val="22"/>
        </w:rPr>
      </w:pPr>
      <w:r w:rsidRPr="00452C85">
        <w:rPr>
          <w:rFonts w:cs="Arial"/>
          <w:bCs/>
          <w:sz w:val="22"/>
          <w:szCs w:val="22"/>
        </w:rPr>
        <w:t xml:space="preserve">*Displays of minimal information (e.g., “thumbnails”, text messages, “tweets”, </w:t>
      </w:r>
      <w:proofErr w:type="spellStart"/>
      <w:r w:rsidRPr="00452C85">
        <w:rPr>
          <w:rFonts w:cs="Arial"/>
          <w:bCs/>
          <w:sz w:val="22"/>
          <w:szCs w:val="22"/>
        </w:rPr>
        <w:t>etc</w:t>
      </w:r>
      <w:proofErr w:type="spellEnd"/>
      <w:r w:rsidRPr="00452C85">
        <w:rPr>
          <w:rFonts w:cs="Arial"/>
          <w:bCs/>
          <w:sz w:val="22"/>
          <w:szCs w:val="22"/>
        </w:rPr>
        <w:t xml:space="preserve"> of two hundred (200) characters of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w:t>
      </w:r>
      <w:proofErr w:type="gramStart"/>
      <w:r w:rsidRPr="00452C85">
        <w:rPr>
          <w:rFonts w:cs="Arial"/>
          <w:bCs/>
          <w:sz w:val="22"/>
          <w:szCs w:val="22"/>
        </w:rPr>
        <w:t>devices</w:t>
      </w:r>
      <w:proofErr w:type="gramEnd"/>
      <w:r w:rsidRPr="00452C85">
        <w:rPr>
          <w:rFonts w:cs="Arial"/>
          <w:bCs/>
          <w:sz w:val="22"/>
          <w:szCs w:val="22"/>
        </w:rPr>
        <w:t xml:space="preserve"> application. (</w:t>
      </w:r>
      <w:proofErr w:type="gramStart"/>
      <w:r w:rsidRPr="00452C85">
        <w:rPr>
          <w:rFonts w:cs="Arial"/>
          <w:bCs/>
          <w:sz w:val="22"/>
          <w:szCs w:val="22"/>
        </w:rPr>
        <w:t>amended</w:t>
      </w:r>
      <w:proofErr w:type="gramEnd"/>
      <w:r w:rsidRPr="00452C85">
        <w:rPr>
          <w:rFonts w:cs="Arial"/>
          <w:bCs/>
          <w:sz w:val="22"/>
          <w:szCs w:val="22"/>
        </w:rPr>
        <w:t xml:space="preserve"> 5/17)</w:t>
      </w:r>
    </w:p>
    <w:p w14:paraId="6A13A635" w14:textId="77777777" w:rsidR="00FA3D38" w:rsidRPr="0093012F" w:rsidRDefault="00FA3D38" w:rsidP="00FA3D38">
      <w:pPr>
        <w:spacing w:before="0" w:after="0"/>
        <w:rPr>
          <w:rFonts w:cs="Arial"/>
          <w:bCs/>
          <w:sz w:val="22"/>
          <w:szCs w:val="22"/>
          <w:u w:val="single"/>
        </w:rPr>
      </w:pPr>
    </w:p>
    <w:p w14:paraId="0EDC36EB" w14:textId="77777777" w:rsidR="00FA3D38" w:rsidRPr="0093012F" w:rsidRDefault="00FA3D38" w:rsidP="00FA3D38">
      <w:pPr>
        <w:spacing w:before="0" w:after="0"/>
        <w:rPr>
          <w:rFonts w:cs="Arial"/>
          <w:sz w:val="22"/>
          <w:szCs w:val="22"/>
        </w:rPr>
      </w:pPr>
      <w:r w:rsidRPr="0093012F">
        <w:rPr>
          <w:rFonts w:cs="Arial"/>
          <w:bCs/>
          <w:sz w:val="22"/>
          <w:szCs w:val="22"/>
          <w:u w:val="single"/>
        </w:rPr>
        <w:t xml:space="preserve">Section </w:t>
      </w:r>
      <w:r w:rsidRPr="00452C85">
        <w:rPr>
          <w:rFonts w:cs="Arial"/>
          <w:bCs/>
          <w:sz w:val="22"/>
          <w:szCs w:val="22"/>
          <w:u w:val="single"/>
        </w:rPr>
        <w:t>16.3</w:t>
      </w:r>
      <w:r w:rsidRPr="0093012F">
        <w:rPr>
          <w:rFonts w:cs="Arial"/>
          <w:bCs/>
          <w:sz w:val="22"/>
          <w:szCs w:val="22"/>
          <w:u w:val="single"/>
        </w:rPr>
        <w:t xml:space="preserve"> IDX Display</w:t>
      </w:r>
      <w:r w:rsidRPr="0093012F">
        <w:rPr>
          <w:rFonts w:cs="Arial"/>
          <w:sz w:val="22"/>
          <w:szCs w:val="22"/>
          <w:u w:val="single"/>
        </w:rPr>
        <w:t xml:space="preserve"> </w:t>
      </w:r>
    </w:p>
    <w:p w14:paraId="31338BEC" w14:textId="77777777" w:rsidR="00FA3D38" w:rsidRDefault="00FA3D38" w:rsidP="00FA3D38">
      <w:pPr>
        <w:spacing w:before="0" w:after="0"/>
        <w:rPr>
          <w:rFonts w:cs="Arial"/>
          <w:bCs/>
          <w:sz w:val="22"/>
          <w:szCs w:val="22"/>
          <w:u w:val="single"/>
        </w:rPr>
      </w:pPr>
      <w:r w:rsidRPr="0093012F">
        <w:rPr>
          <w:rFonts w:cs="Arial"/>
          <w:sz w:val="22"/>
          <w:szCs w:val="22"/>
        </w:rPr>
        <w:t xml:space="preserve">Display of listing information pursuant to IDX is subject to the following rules: </w:t>
      </w:r>
      <w:r w:rsidRPr="0093012F">
        <w:rPr>
          <w:rFonts w:cs="Arial"/>
          <w:sz w:val="22"/>
          <w:szCs w:val="22"/>
        </w:rPr>
        <w:br/>
      </w:r>
    </w:p>
    <w:p w14:paraId="218B9934" w14:textId="77777777" w:rsidR="00FA3D38" w:rsidRPr="0093012F" w:rsidRDefault="00FA3D38" w:rsidP="00FA3D38">
      <w:pPr>
        <w:spacing w:before="0" w:after="0"/>
        <w:rPr>
          <w:rFonts w:cs="Arial"/>
          <w:sz w:val="22"/>
          <w:szCs w:val="22"/>
          <w:u w:val="single"/>
        </w:rPr>
      </w:pPr>
      <w:r w:rsidRPr="0093012F">
        <w:rPr>
          <w:rFonts w:cs="Arial"/>
          <w:bCs/>
          <w:sz w:val="22"/>
          <w:szCs w:val="22"/>
          <w:u w:val="single"/>
        </w:rPr>
        <w:t xml:space="preserve">Section </w:t>
      </w:r>
      <w:r w:rsidRPr="00452C85">
        <w:rPr>
          <w:rFonts w:cs="Arial"/>
          <w:bCs/>
          <w:sz w:val="22"/>
          <w:szCs w:val="22"/>
          <w:u w:val="single"/>
        </w:rPr>
        <w:t>16.3.1</w:t>
      </w:r>
      <w:r w:rsidRPr="0093012F">
        <w:rPr>
          <w:rFonts w:cs="Arial"/>
          <w:sz w:val="22"/>
          <w:szCs w:val="22"/>
          <w:u w:val="single"/>
        </w:rPr>
        <w:t xml:space="preserve"> </w:t>
      </w:r>
    </w:p>
    <w:p w14:paraId="038129C6" w14:textId="77777777" w:rsidR="00FA3D38" w:rsidRPr="0093012F" w:rsidRDefault="00FA3D38" w:rsidP="00FA3D38">
      <w:pPr>
        <w:spacing w:before="0" w:after="0"/>
        <w:rPr>
          <w:rFonts w:cs="Arial"/>
          <w:sz w:val="22"/>
          <w:szCs w:val="22"/>
          <w:u w:val="single"/>
        </w:rPr>
      </w:pPr>
      <w:r w:rsidRPr="0093012F">
        <w:rPr>
          <w:rFonts w:cs="Arial"/>
          <w:sz w:val="22"/>
          <w:szCs w:val="22"/>
        </w:rPr>
        <w:t>Listings displayed pursuant to IDX shall contain only those fields of data designated by the MLS. Display of all other fields (as determined by the MLS) is prohibited. Confidential fields intended only for other MLS participants and users (</w:t>
      </w:r>
      <w:proofErr w:type="gramStart"/>
      <w:r w:rsidRPr="0093012F">
        <w:rPr>
          <w:rFonts w:cs="Arial"/>
          <w:sz w:val="22"/>
          <w:szCs w:val="22"/>
        </w:rPr>
        <w:t>e.g.</w:t>
      </w:r>
      <w:proofErr w:type="gramEnd"/>
      <w:r w:rsidRPr="0093012F">
        <w:rPr>
          <w:rFonts w:cs="Arial"/>
          <w:sz w:val="22"/>
          <w:szCs w:val="22"/>
        </w:rPr>
        <w:t xml:space="preserve"> showing instructions</w:t>
      </w:r>
      <w:r>
        <w:rPr>
          <w:rFonts w:cs="Arial"/>
          <w:sz w:val="22"/>
          <w:szCs w:val="22"/>
        </w:rPr>
        <w:t xml:space="preserve"> and </w:t>
      </w:r>
      <w:r w:rsidRPr="0093012F">
        <w:rPr>
          <w:rFonts w:cs="Arial"/>
          <w:sz w:val="22"/>
          <w:szCs w:val="22"/>
        </w:rPr>
        <w:t xml:space="preserve">property security information) may not be displayed. </w:t>
      </w:r>
      <w:r w:rsidRPr="0093012F">
        <w:rPr>
          <w:rFonts w:cs="Arial"/>
          <w:sz w:val="22"/>
          <w:szCs w:val="22"/>
        </w:rPr>
        <w:br/>
      </w:r>
      <w:r w:rsidRPr="0093012F">
        <w:rPr>
          <w:rFonts w:cs="Arial"/>
          <w:sz w:val="22"/>
          <w:szCs w:val="22"/>
        </w:rPr>
        <w:br/>
      </w:r>
      <w:r w:rsidRPr="0093012F">
        <w:rPr>
          <w:rFonts w:cs="Arial"/>
          <w:bCs/>
          <w:sz w:val="22"/>
          <w:szCs w:val="22"/>
          <w:u w:val="single"/>
        </w:rPr>
        <w:t xml:space="preserve">Section </w:t>
      </w:r>
      <w:r w:rsidRPr="00452C85">
        <w:rPr>
          <w:rFonts w:cs="Arial"/>
          <w:bCs/>
          <w:sz w:val="22"/>
          <w:szCs w:val="22"/>
          <w:u w:val="single"/>
        </w:rPr>
        <w:t>16.3.2</w:t>
      </w:r>
      <w:r w:rsidRPr="0093012F">
        <w:rPr>
          <w:rFonts w:cs="Arial"/>
          <w:sz w:val="22"/>
          <w:szCs w:val="22"/>
          <w:u w:val="single"/>
        </w:rPr>
        <w:t xml:space="preserve"> </w:t>
      </w:r>
    </w:p>
    <w:p w14:paraId="0D2C4828" w14:textId="77777777" w:rsidR="00FA3D38" w:rsidRPr="0030435F" w:rsidRDefault="00FA3D38" w:rsidP="00FA3D38">
      <w:pPr>
        <w:spacing w:before="0" w:after="0"/>
        <w:rPr>
          <w:rFonts w:cs="Arial"/>
          <w:sz w:val="22"/>
          <w:szCs w:val="22"/>
        </w:rPr>
      </w:pPr>
      <w:r>
        <w:rPr>
          <w:rFonts w:cs="Arial"/>
          <w:sz w:val="22"/>
          <w:szCs w:val="22"/>
        </w:rPr>
        <w:t>Deleted May 2015</w:t>
      </w:r>
      <w:r w:rsidRPr="0093012F">
        <w:rPr>
          <w:rFonts w:cs="Arial"/>
          <w:sz w:val="22"/>
          <w:szCs w:val="22"/>
        </w:rPr>
        <w:br/>
      </w:r>
      <w:r w:rsidRPr="0093012F">
        <w:rPr>
          <w:rFonts w:cs="Arial"/>
          <w:sz w:val="22"/>
          <w:szCs w:val="22"/>
        </w:rPr>
        <w:br/>
      </w:r>
      <w:r w:rsidRPr="009E119C">
        <w:rPr>
          <w:rFonts w:cs="Arial"/>
          <w:bCs/>
          <w:sz w:val="22"/>
          <w:szCs w:val="22"/>
          <w:u w:val="single"/>
        </w:rPr>
        <w:t xml:space="preserve">Section </w:t>
      </w:r>
      <w:r>
        <w:rPr>
          <w:rFonts w:cs="Arial"/>
          <w:sz w:val="22"/>
          <w:szCs w:val="22"/>
          <w:u w:val="single"/>
        </w:rPr>
        <w:t>16.3.</w:t>
      </w:r>
      <w:r w:rsidRPr="000257AA">
        <w:rPr>
          <w:rFonts w:cs="Arial"/>
          <w:sz w:val="22"/>
          <w:szCs w:val="22"/>
          <w:u w:val="single"/>
        </w:rPr>
        <w:t xml:space="preserve">3 </w:t>
      </w:r>
      <w:r w:rsidRPr="000257AA">
        <w:rPr>
          <w:rFonts w:cs="Arial"/>
          <w:sz w:val="22"/>
          <w:szCs w:val="22"/>
        </w:rPr>
        <w:t>deleted moved to section 16.2.12 (now is mandatory)</w:t>
      </w:r>
    </w:p>
    <w:p w14:paraId="76D8D4FC" w14:textId="77777777" w:rsidR="00FA3D38" w:rsidRPr="0093012F" w:rsidRDefault="00FA3D38" w:rsidP="00FA3D38">
      <w:pPr>
        <w:spacing w:before="0" w:after="0"/>
        <w:rPr>
          <w:rFonts w:cs="Arial"/>
          <w:sz w:val="22"/>
          <w:szCs w:val="22"/>
          <w:u w:val="single"/>
        </w:rPr>
      </w:pPr>
      <w:r w:rsidRPr="0093012F">
        <w:rPr>
          <w:rFonts w:cs="Arial"/>
          <w:sz w:val="22"/>
          <w:szCs w:val="22"/>
        </w:rPr>
        <w:br/>
      </w:r>
      <w:r w:rsidRPr="0093012F">
        <w:rPr>
          <w:rFonts w:cs="Arial"/>
          <w:bCs/>
          <w:sz w:val="22"/>
          <w:szCs w:val="22"/>
          <w:u w:val="single"/>
        </w:rPr>
        <w:t xml:space="preserve">Section </w:t>
      </w:r>
      <w:r w:rsidRPr="000257AA">
        <w:rPr>
          <w:rFonts w:cs="Arial"/>
          <w:bCs/>
          <w:sz w:val="22"/>
          <w:szCs w:val="22"/>
          <w:u w:val="single"/>
        </w:rPr>
        <w:t>16.3.4</w:t>
      </w:r>
      <w:r w:rsidRPr="0093012F">
        <w:rPr>
          <w:rFonts w:cs="Arial"/>
          <w:sz w:val="22"/>
          <w:szCs w:val="22"/>
          <w:u w:val="single"/>
        </w:rPr>
        <w:t xml:space="preserve"> </w:t>
      </w:r>
    </w:p>
    <w:p w14:paraId="776FB90F" w14:textId="77777777" w:rsidR="00FA3D38" w:rsidRPr="000257AA" w:rsidRDefault="00FA3D38" w:rsidP="00FA3D38">
      <w:pPr>
        <w:spacing w:before="0" w:after="0"/>
        <w:rPr>
          <w:rFonts w:cs="Arial"/>
          <w:sz w:val="22"/>
          <w:szCs w:val="22"/>
          <w:u w:val="single"/>
        </w:rPr>
      </w:pPr>
      <w:r w:rsidRPr="0093012F">
        <w:rPr>
          <w:rFonts w:cs="Arial"/>
          <w:sz w:val="22"/>
          <w:szCs w:val="22"/>
        </w:rPr>
        <w:t>All listings displayed pursuant to IDX shall identify the listing agent.</w:t>
      </w:r>
      <w:r w:rsidRPr="0093012F">
        <w:rPr>
          <w:rFonts w:cs="Arial"/>
          <w:bCs/>
          <w:sz w:val="22"/>
          <w:szCs w:val="22"/>
        </w:rPr>
        <w:t xml:space="preserve"> </w:t>
      </w:r>
      <w:r w:rsidRPr="0093012F">
        <w:rPr>
          <w:rFonts w:cs="Arial"/>
          <w:sz w:val="22"/>
          <w:szCs w:val="22"/>
        </w:rPr>
        <w:t xml:space="preserve"> </w:t>
      </w:r>
      <w:r w:rsidRPr="0093012F">
        <w:rPr>
          <w:rFonts w:cs="Arial"/>
          <w:sz w:val="22"/>
          <w:szCs w:val="22"/>
        </w:rPr>
        <w:br/>
      </w:r>
      <w:r w:rsidRPr="0093012F">
        <w:rPr>
          <w:rFonts w:cs="Arial"/>
          <w:sz w:val="22"/>
          <w:szCs w:val="22"/>
        </w:rPr>
        <w:br/>
      </w:r>
      <w:r w:rsidRPr="0093012F">
        <w:rPr>
          <w:rFonts w:cs="Arial"/>
          <w:bCs/>
          <w:sz w:val="22"/>
          <w:szCs w:val="22"/>
          <w:u w:val="single"/>
        </w:rPr>
        <w:t xml:space="preserve">Section </w:t>
      </w:r>
      <w:r w:rsidRPr="000257AA">
        <w:rPr>
          <w:rFonts w:cs="Arial"/>
          <w:bCs/>
          <w:sz w:val="22"/>
          <w:szCs w:val="22"/>
          <w:u w:val="single"/>
        </w:rPr>
        <w:t>16.3.5</w:t>
      </w:r>
      <w:r w:rsidRPr="000257AA">
        <w:rPr>
          <w:rFonts w:cs="Arial"/>
          <w:sz w:val="22"/>
          <w:szCs w:val="22"/>
          <w:u w:val="single"/>
        </w:rPr>
        <w:t xml:space="preserve"> </w:t>
      </w:r>
    </w:p>
    <w:p w14:paraId="141B7BD9" w14:textId="77777777" w:rsidR="00FA3D38" w:rsidRDefault="00FA3D38" w:rsidP="00FA3D38">
      <w:pPr>
        <w:spacing w:before="0" w:after="0"/>
        <w:rPr>
          <w:rFonts w:cs="Arial"/>
          <w:sz w:val="22"/>
          <w:szCs w:val="22"/>
          <w:u w:val="single"/>
        </w:rPr>
      </w:pPr>
      <w:r w:rsidRPr="0093012F">
        <w:rPr>
          <w:rFonts w:cs="Arial"/>
          <w:sz w:val="22"/>
          <w:szCs w:val="22"/>
        </w:rPr>
        <w:t xml:space="preserve">Non-principal brokers and sales licensees affiliated with IDX participants may display information available through IDX on their own Web sites subject to their participant’s consent and control and the requirements of state law and/or regulation. </w:t>
      </w:r>
      <w:r w:rsidRPr="0093012F">
        <w:rPr>
          <w:rFonts w:cs="Arial"/>
          <w:sz w:val="22"/>
          <w:szCs w:val="22"/>
        </w:rPr>
        <w:br/>
      </w:r>
      <w:r w:rsidRPr="0093012F">
        <w:rPr>
          <w:rFonts w:cs="Arial"/>
          <w:sz w:val="22"/>
          <w:szCs w:val="22"/>
        </w:rPr>
        <w:br/>
      </w:r>
      <w:r w:rsidRPr="0093012F">
        <w:rPr>
          <w:rFonts w:cs="Arial"/>
          <w:bCs/>
          <w:sz w:val="22"/>
          <w:szCs w:val="22"/>
          <w:u w:val="single"/>
        </w:rPr>
        <w:t xml:space="preserve">Section </w:t>
      </w:r>
      <w:r w:rsidRPr="000257AA">
        <w:rPr>
          <w:rFonts w:cs="Arial"/>
          <w:bCs/>
          <w:sz w:val="22"/>
          <w:szCs w:val="22"/>
          <w:u w:val="single"/>
        </w:rPr>
        <w:t>16.3.6</w:t>
      </w:r>
      <w:r w:rsidRPr="0093012F">
        <w:rPr>
          <w:rFonts w:cs="Arial"/>
          <w:sz w:val="22"/>
          <w:szCs w:val="22"/>
          <w:u w:val="single"/>
        </w:rPr>
        <w:t xml:space="preserve"> </w:t>
      </w:r>
    </w:p>
    <w:p w14:paraId="7D6AEFFF" w14:textId="77777777" w:rsidR="00FA3D38" w:rsidRPr="0093012F" w:rsidRDefault="00FA3D38" w:rsidP="00FA3D38">
      <w:pPr>
        <w:spacing w:before="0" w:after="0"/>
        <w:rPr>
          <w:rFonts w:cs="Arial"/>
          <w:sz w:val="22"/>
          <w:szCs w:val="22"/>
        </w:rPr>
      </w:pPr>
      <w:r w:rsidRPr="0093012F">
        <w:rPr>
          <w:rFonts w:cs="Arial"/>
          <w:sz w:val="22"/>
          <w:szCs w:val="22"/>
        </w:rPr>
        <w:t>Deleted November 2006.</w:t>
      </w:r>
      <w:r w:rsidRPr="0093012F">
        <w:rPr>
          <w:rFonts w:cs="Arial"/>
          <w:sz w:val="22"/>
          <w:szCs w:val="22"/>
        </w:rPr>
        <w:br/>
      </w:r>
      <w:r w:rsidRPr="0093012F">
        <w:rPr>
          <w:rFonts w:cs="Arial"/>
          <w:sz w:val="22"/>
          <w:szCs w:val="22"/>
        </w:rPr>
        <w:br/>
      </w:r>
      <w:r w:rsidRPr="009E119C">
        <w:rPr>
          <w:rFonts w:cs="Arial"/>
          <w:bCs/>
          <w:sz w:val="22"/>
          <w:szCs w:val="22"/>
          <w:u w:val="single"/>
        </w:rPr>
        <w:t xml:space="preserve">Section </w:t>
      </w:r>
      <w:r w:rsidRPr="000257AA">
        <w:rPr>
          <w:rFonts w:cs="Arial"/>
          <w:bCs/>
          <w:sz w:val="22"/>
          <w:szCs w:val="22"/>
          <w:u w:val="single"/>
        </w:rPr>
        <w:t>16.3.7</w:t>
      </w:r>
      <w:r w:rsidRPr="009E119C">
        <w:rPr>
          <w:rFonts w:cs="Arial"/>
          <w:sz w:val="22"/>
          <w:szCs w:val="22"/>
          <w:u w:val="single"/>
        </w:rPr>
        <w:t xml:space="preserve"> </w:t>
      </w:r>
    </w:p>
    <w:p w14:paraId="0A86045F" w14:textId="77777777" w:rsidR="00FA3D38" w:rsidRPr="0093012F" w:rsidRDefault="00FA3D38" w:rsidP="00FA3D38">
      <w:pPr>
        <w:spacing w:before="0" w:after="0"/>
        <w:rPr>
          <w:rFonts w:cs="Arial"/>
          <w:sz w:val="22"/>
          <w:szCs w:val="22"/>
          <w:u w:val="single"/>
        </w:rPr>
      </w:pPr>
      <w:r w:rsidRPr="0093012F">
        <w:rPr>
          <w:rFonts w:cs="Arial"/>
          <w:sz w:val="22"/>
          <w:szCs w:val="22"/>
        </w:rPr>
        <w:t>All listings displayed pursuant to IDX shall show the MLS as the source of the information. Displays of minimal information (</w:t>
      </w:r>
      <w:proofErr w:type="gramStart"/>
      <w:r w:rsidRPr="0093012F">
        <w:rPr>
          <w:rFonts w:cs="Arial"/>
          <w:sz w:val="22"/>
          <w:szCs w:val="22"/>
        </w:rPr>
        <w:t>e.g.</w:t>
      </w:r>
      <w:proofErr w:type="gramEnd"/>
      <w:r w:rsidRPr="0093012F">
        <w:rPr>
          <w:rFonts w:cs="Arial"/>
          <w:sz w:val="22"/>
          <w:szCs w:val="22"/>
        </w:rPr>
        <w:t xml:space="preserve"> “thumbnails”, text messages, “tweets”, etc., of two hundred (200) characters or less are exempt from this requirement but only when linked directly to a </w:t>
      </w:r>
      <w:r w:rsidRPr="0093012F">
        <w:rPr>
          <w:rFonts w:cs="Arial"/>
          <w:sz w:val="22"/>
          <w:szCs w:val="22"/>
        </w:rPr>
        <w:lastRenderedPageBreak/>
        <w:t xml:space="preserve">display that includes all required disclosures. </w:t>
      </w:r>
      <w:r w:rsidRPr="0093012F">
        <w:rPr>
          <w:rFonts w:cs="Arial"/>
          <w:iCs/>
          <w:sz w:val="22"/>
          <w:szCs w:val="22"/>
        </w:rPr>
        <w:t>(Amended 05/12)</w:t>
      </w:r>
      <w:r w:rsidRPr="0093012F">
        <w:rPr>
          <w:rFonts w:cs="Arial"/>
          <w:sz w:val="22"/>
          <w:szCs w:val="22"/>
        </w:rPr>
        <w:t xml:space="preserve"> </w:t>
      </w:r>
      <w:r w:rsidRPr="0093012F">
        <w:rPr>
          <w:rFonts w:cs="Arial"/>
          <w:sz w:val="22"/>
          <w:szCs w:val="22"/>
        </w:rPr>
        <w:br/>
      </w:r>
      <w:r w:rsidRPr="0093012F">
        <w:rPr>
          <w:rFonts w:cs="Arial"/>
          <w:sz w:val="22"/>
          <w:szCs w:val="22"/>
        </w:rPr>
        <w:br/>
      </w:r>
      <w:r w:rsidRPr="0093012F">
        <w:rPr>
          <w:rFonts w:cs="Arial"/>
          <w:bCs/>
          <w:sz w:val="22"/>
          <w:szCs w:val="22"/>
          <w:u w:val="single"/>
        </w:rPr>
        <w:t xml:space="preserve">Section </w:t>
      </w:r>
      <w:r w:rsidRPr="000257AA">
        <w:rPr>
          <w:rFonts w:cs="Arial"/>
          <w:bCs/>
          <w:sz w:val="22"/>
          <w:szCs w:val="22"/>
          <w:u w:val="single"/>
        </w:rPr>
        <w:t>16.3.8</w:t>
      </w:r>
      <w:r w:rsidRPr="0093012F">
        <w:rPr>
          <w:rFonts w:cs="Arial"/>
          <w:sz w:val="22"/>
          <w:szCs w:val="22"/>
          <w:u w:val="single"/>
        </w:rPr>
        <w:t xml:space="preserve"> </w:t>
      </w:r>
    </w:p>
    <w:p w14:paraId="5262785E" w14:textId="77777777" w:rsidR="00FA3D38" w:rsidRDefault="00FA3D38" w:rsidP="00FA3D38">
      <w:pPr>
        <w:spacing w:before="0" w:after="0"/>
        <w:rPr>
          <w:rFonts w:cs="Arial"/>
          <w:bCs/>
          <w:sz w:val="22"/>
          <w:szCs w:val="22"/>
          <w:u w:val="single"/>
        </w:rPr>
      </w:pPr>
      <w:r w:rsidRPr="0093012F">
        <w:rPr>
          <w:rFonts w:cs="Arial"/>
          <w:sz w:val="22"/>
          <w:szCs w:val="22"/>
        </w:rPr>
        <w:t>Participants (and their affiliated licensees, if applicable) shall indicate on their Web sites that IDX information is provided exclusively for consumers’ personal, 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participants and/or the MLS from liability. Displays of minimal information (</w:t>
      </w:r>
      <w:proofErr w:type="gramStart"/>
      <w:r w:rsidRPr="0093012F">
        <w:rPr>
          <w:rFonts w:cs="Arial"/>
          <w:sz w:val="22"/>
          <w:szCs w:val="22"/>
        </w:rPr>
        <w:t>e.g.</w:t>
      </w:r>
      <w:proofErr w:type="gramEnd"/>
      <w:r w:rsidRPr="0093012F">
        <w:rPr>
          <w:rFonts w:cs="Arial"/>
          <w:sz w:val="22"/>
          <w:szCs w:val="22"/>
        </w:rPr>
        <w:t xml:space="preserve"> “thumbnails”, text messages, “tweets”, etc., of two hundred (200) characters or less are exempt from this requirement but only when linked directly to a display that includes all required disclosures.  </w:t>
      </w:r>
      <w:r w:rsidRPr="0093012F">
        <w:rPr>
          <w:rFonts w:cs="Arial"/>
          <w:iCs/>
          <w:sz w:val="22"/>
          <w:szCs w:val="22"/>
        </w:rPr>
        <w:t>(Amended 05/12)</w:t>
      </w:r>
      <w:r w:rsidRPr="0093012F">
        <w:rPr>
          <w:rFonts w:cs="Arial"/>
          <w:sz w:val="22"/>
          <w:szCs w:val="22"/>
        </w:rPr>
        <w:t xml:space="preserve"> </w:t>
      </w:r>
      <w:r w:rsidRPr="0093012F">
        <w:rPr>
          <w:rFonts w:cs="Arial"/>
          <w:sz w:val="22"/>
          <w:szCs w:val="22"/>
        </w:rPr>
        <w:br/>
      </w:r>
    </w:p>
    <w:p w14:paraId="26B08F68" w14:textId="77777777" w:rsidR="00FA3D38" w:rsidRPr="0093012F" w:rsidRDefault="00FA3D38" w:rsidP="00FA3D38">
      <w:pPr>
        <w:spacing w:before="0" w:after="0"/>
        <w:rPr>
          <w:rFonts w:cs="Arial"/>
          <w:sz w:val="22"/>
          <w:szCs w:val="22"/>
          <w:u w:val="single"/>
        </w:rPr>
      </w:pPr>
      <w:r w:rsidRPr="0093012F">
        <w:rPr>
          <w:rFonts w:cs="Arial"/>
          <w:bCs/>
          <w:sz w:val="22"/>
          <w:szCs w:val="22"/>
          <w:u w:val="single"/>
        </w:rPr>
        <w:t xml:space="preserve">Section </w:t>
      </w:r>
      <w:r w:rsidRPr="000257AA">
        <w:rPr>
          <w:rFonts w:cs="Arial"/>
          <w:sz w:val="22"/>
          <w:szCs w:val="22"/>
          <w:u w:val="single"/>
        </w:rPr>
        <w:t>16.3.9</w:t>
      </w:r>
    </w:p>
    <w:p w14:paraId="5E7A59C7" w14:textId="77777777" w:rsidR="00FA3D38" w:rsidRPr="0093012F" w:rsidRDefault="00FA3D38" w:rsidP="00FA3D38">
      <w:pPr>
        <w:spacing w:before="0" w:after="0"/>
        <w:rPr>
          <w:rFonts w:cs="Arial"/>
          <w:sz w:val="22"/>
          <w:szCs w:val="22"/>
          <w:u w:val="single"/>
        </w:rPr>
      </w:pPr>
      <w:r w:rsidRPr="0093012F">
        <w:rPr>
          <w:rFonts w:cs="Arial"/>
          <w:sz w:val="22"/>
          <w:szCs w:val="22"/>
        </w:rPr>
        <w:t xml:space="preserve">The data consumers can retrieve or download in response to an inquiry shall be determined by the MLS but in no instance shall </w:t>
      </w:r>
      <w:r w:rsidRPr="000257AA">
        <w:rPr>
          <w:rFonts w:cs="Arial"/>
          <w:sz w:val="22"/>
          <w:szCs w:val="22"/>
        </w:rPr>
        <w:t xml:space="preserve">be limited to fewer than five hundred (500) listings or fifty percent (50%) of the listings of the listings available for IDX display, whichever is </w:t>
      </w:r>
      <w:proofErr w:type="gramStart"/>
      <w:r w:rsidRPr="000257AA">
        <w:rPr>
          <w:rFonts w:cs="Arial"/>
          <w:sz w:val="22"/>
          <w:szCs w:val="22"/>
        </w:rPr>
        <w:t>fewer</w:t>
      </w:r>
      <w:r w:rsidRPr="000257AA">
        <w:rPr>
          <w:rFonts w:cs="Arial"/>
          <w:strike/>
          <w:sz w:val="22"/>
          <w:szCs w:val="22"/>
        </w:rPr>
        <w:t>.</w:t>
      </w:r>
      <w:r w:rsidRPr="000257AA">
        <w:rPr>
          <w:rFonts w:cs="Arial"/>
          <w:bCs/>
          <w:sz w:val="22"/>
          <w:szCs w:val="22"/>
        </w:rPr>
        <w:t>(</w:t>
      </w:r>
      <w:proofErr w:type="gramEnd"/>
      <w:r w:rsidRPr="000257AA">
        <w:rPr>
          <w:rFonts w:cs="Arial"/>
          <w:bCs/>
          <w:sz w:val="22"/>
          <w:szCs w:val="22"/>
        </w:rPr>
        <w:t>amended 11/17)</w:t>
      </w:r>
      <w:r w:rsidRPr="0030435F">
        <w:rPr>
          <w:rFonts w:cs="Arial"/>
          <w:strike/>
          <w:sz w:val="22"/>
          <w:szCs w:val="22"/>
        </w:rPr>
        <w:br/>
      </w:r>
      <w:r w:rsidRPr="0093012F">
        <w:rPr>
          <w:rFonts w:cs="Arial"/>
          <w:sz w:val="22"/>
          <w:szCs w:val="22"/>
        </w:rPr>
        <w:br/>
      </w:r>
      <w:r w:rsidRPr="0093012F">
        <w:rPr>
          <w:rFonts w:cs="Arial"/>
          <w:bCs/>
          <w:sz w:val="22"/>
          <w:szCs w:val="22"/>
          <w:u w:val="single"/>
        </w:rPr>
        <w:t xml:space="preserve">Section </w:t>
      </w:r>
      <w:r w:rsidRPr="000257AA">
        <w:rPr>
          <w:rFonts w:cs="Arial"/>
          <w:bCs/>
          <w:sz w:val="22"/>
          <w:szCs w:val="22"/>
          <w:u w:val="single"/>
        </w:rPr>
        <w:t>16.3.10</w:t>
      </w:r>
      <w:r w:rsidRPr="0093012F">
        <w:rPr>
          <w:rFonts w:cs="Arial"/>
          <w:sz w:val="22"/>
          <w:szCs w:val="22"/>
          <w:u w:val="single"/>
        </w:rPr>
        <w:t xml:space="preserve"> </w:t>
      </w:r>
    </w:p>
    <w:p w14:paraId="16D30EB2" w14:textId="77777777" w:rsidR="00FA3D38" w:rsidRDefault="00FA3D38" w:rsidP="00FA3D38">
      <w:pPr>
        <w:spacing w:before="0" w:after="0"/>
        <w:rPr>
          <w:rFonts w:cs="Arial"/>
          <w:bCs/>
          <w:sz w:val="22"/>
          <w:szCs w:val="22"/>
          <w:u w:val="single"/>
        </w:rPr>
      </w:pPr>
      <w:r w:rsidRPr="0093012F">
        <w:rPr>
          <w:rFonts w:cs="Arial"/>
          <w:sz w:val="22"/>
          <w:szCs w:val="22"/>
        </w:rPr>
        <w:t xml:space="preserve">The right to display other participants’ listings pursuant to IDX shall be limited to a participant’s office(s) holding participatory rights in this MLS. </w:t>
      </w:r>
      <w:r w:rsidRPr="0093012F">
        <w:rPr>
          <w:rFonts w:cs="Arial"/>
          <w:sz w:val="22"/>
          <w:szCs w:val="22"/>
        </w:rPr>
        <w:br/>
      </w:r>
    </w:p>
    <w:p w14:paraId="39E78F9E" w14:textId="77777777" w:rsidR="00FA3D38" w:rsidRPr="0093012F" w:rsidRDefault="00FA3D38" w:rsidP="00FA3D38">
      <w:pPr>
        <w:spacing w:before="0" w:after="0"/>
        <w:rPr>
          <w:rFonts w:cs="Arial"/>
          <w:sz w:val="22"/>
          <w:szCs w:val="22"/>
          <w:u w:val="single"/>
        </w:rPr>
      </w:pPr>
      <w:r w:rsidRPr="0093012F">
        <w:rPr>
          <w:rFonts w:cs="Arial"/>
          <w:bCs/>
          <w:sz w:val="22"/>
          <w:szCs w:val="22"/>
          <w:u w:val="single"/>
        </w:rPr>
        <w:t xml:space="preserve">Section </w:t>
      </w:r>
      <w:r>
        <w:rPr>
          <w:rFonts w:cs="Arial"/>
          <w:bCs/>
          <w:sz w:val="22"/>
          <w:szCs w:val="22"/>
          <w:u w:val="single"/>
        </w:rPr>
        <w:t>16.3.11</w:t>
      </w:r>
      <w:r w:rsidRPr="0093012F">
        <w:rPr>
          <w:rFonts w:cs="Arial"/>
          <w:sz w:val="22"/>
          <w:szCs w:val="22"/>
          <w:u w:val="single"/>
        </w:rPr>
        <w:t xml:space="preserve"> </w:t>
      </w:r>
    </w:p>
    <w:p w14:paraId="037D68C8" w14:textId="77777777" w:rsidR="00FA3D38" w:rsidRDefault="00FA3D38" w:rsidP="00FA3D38">
      <w:pPr>
        <w:autoSpaceDE w:val="0"/>
        <w:autoSpaceDN w:val="0"/>
        <w:adjustRightInd w:val="0"/>
        <w:spacing w:after="0"/>
        <w:rPr>
          <w:rFonts w:cs="Arial"/>
          <w:bCs/>
          <w:sz w:val="22"/>
          <w:szCs w:val="22"/>
        </w:rPr>
      </w:pPr>
      <w:r w:rsidRPr="0093012F">
        <w:rPr>
          <w:rFonts w:cs="Arial"/>
          <w:sz w:val="22"/>
          <w:szCs w:val="22"/>
        </w:rPr>
        <w:t xml:space="preserve">Listings obtained through IDX </w:t>
      </w:r>
      <w:r w:rsidRPr="00150066">
        <w:rPr>
          <w:rFonts w:cs="Arial"/>
          <w:sz w:val="22"/>
          <w:szCs w:val="22"/>
        </w:rPr>
        <w:t xml:space="preserve">feeds from REALTOR® Association MLSs where the MLS Participant holds participatory rights </w:t>
      </w:r>
      <w:r w:rsidRPr="0093012F">
        <w:rPr>
          <w:rFonts w:cs="Arial"/>
          <w:sz w:val="22"/>
          <w:szCs w:val="22"/>
        </w:rPr>
        <w:t>must be displayed separately from listings obtained from other sources. Listings obtained from other sources (e.g., from other MLSs, from non-participating brokers, etc.) must display the source from which each such listing was obtained. Displays of minimal information (</w:t>
      </w:r>
      <w:proofErr w:type="gramStart"/>
      <w:r w:rsidRPr="0093012F">
        <w:rPr>
          <w:rFonts w:cs="Arial"/>
          <w:sz w:val="22"/>
          <w:szCs w:val="22"/>
        </w:rPr>
        <w:t>e.g.</w:t>
      </w:r>
      <w:proofErr w:type="gramEnd"/>
      <w:r w:rsidRPr="0093012F">
        <w:rPr>
          <w:rFonts w:cs="Arial"/>
          <w:sz w:val="22"/>
          <w:szCs w:val="22"/>
        </w:rPr>
        <w:t xml:space="preserve"> “thumbnails”, text messages, “tweets”, etc., of two hundred </w:t>
      </w:r>
      <w:r>
        <w:rPr>
          <w:rFonts w:cs="Arial"/>
          <w:sz w:val="22"/>
          <w:szCs w:val="22"/>
        </w:rPr>
        <w:t>[</w:t>
      </w:r>
      <w:r w:rsidRPr="0093012F">
        <w:rPr>
          <w:rFonts w:cs="Arial"/>
          <w:sz w:val="22"/>
          <w:szCs w:val="22"/>
        </w:rPr>
        <w:t>200</w:t>
      </w:r>
      <w:r>
        <w:rPr>
          <w:rFonts w:cs="Arial"/>
          <w:sz w:val="22"/>
          <w:szCs w:val="22"/>
        </w:rPr>
        <w:t>]</w:t>
      </w:r>
      <w:r w:rsidRPr="0093012F">
        <w:rPr>
          <w:rFonts w:cs="Arial"/>
          <w:sz w:val="22"/>
          <w:szCs w:val="22"/>
        </w:rPr>
        <w:t xml:space="preserve"> characters or less</w:t>
      </w:r>
      <w:r>
        <w:rPr>
          <w:rFonts w:cs="Arial"/>
          <w:sz w:val="22"/>
          <w:szCs w:val="22"/>
        </w:rPr>
        <w:t>)</w:t>
      </w:r>
      <w:r w:rsidRPr="0093012F">
        <w:rPr>
          <w:rFonts w:cs="Arial"/>
          <w:sz w:val="22"/>
          <w:szCs w:val="22"/>
        </w:rPr>
        <w:t xml:space="preserve"> are exempt from this requirement but only when linked directly to a display that includes all required disclosures. </w:t>
      </w:r>
      <w:r w:rsidRPr="0093012F">
        <w:rPr>
          <w:rFonts w:cs="Arial"/>
          <w:iCs/>
          <w:sz w:val="22"/>
          <w:szCs w:val="22"/>
        </w:rPr>
        <w:t>(Amended 05/</w:t>
      </w:r>
      <w:r w:rsidRPr="00150066">
        <w:rPr>
          <w:rFonts w:cs="Arial"/>
          <w:iCs/>
          <w:sz w:val="22"/>
          <w:szCs w:val="22"/>
        </w:rPr>
        <w:t>14</w:t>
      </w:r>
      <w:r w:rsidRPr="0093012F">
        <w:rPr>
          <w:rFonts w:cs="Arial"/>
          <w:iCs/>
          <w:sz w:val="22"/>
          <w:szCs w:val="22"/>
        </w:rPr>
        <w:t>)</w:t>
      </w:r>
      <w:r w:rsidRPr="0093012F">
        <w:rPr>
          <w:rFonts w:cs="Arial"/>
          <w:sz w:val="22"/>
          <w:szCs w:val="22"/>
        </w:rPr>
        <w:t xml:space="preserve"> </w:t>
      </w:r>
    </w:p>
    <w:p w14:paraId="7D2985F6" w14:textId="77777777" w:rsidR="00FA3D38" w:rsidRPr="0093012F" w:rsidRDefault="00FA3D38" w:rsidP="00FA3D38">
      <w:pPr>
        <w:autoSpaceDE w:val="0"/>
        <w:autoSpaceDN w:val="0"/>
        <w:adjustRightInd w:val="0"/>
        <w:spacing w:after="0"/>
        <w:rPr>
          <w:rFonts w:cs="Arial"/>
          <w:sz w:val="22"/>
          <w:szCs w:val="22"/>
        </w:rPr>
      </w:pPr>
    </w:p>
    <w:p w14:paraId="3D052F3F" w14:textId="77777777" w:rsidR="00FA3D38" w:rsidRDefault="00FA3D38" w:rsidP="00FA3D38">
      <w:pPr>
        <w:autoSpaceDE w:val="0"/>
        <w:autoSpaceDN w:val="0"/>
        <w:adjustRightInd w:val="0"/>
        <w:spacing w:after="0"/>
        <w:rPr>
          <w:rFonts w:cs="Arial"/>
          <w:bCs/>
          <w:sz w:val="22"/>
          <w:szCs w:val="22"/>
        </w:rPr>
      </w:pPr>
      <w:r w:rsidRPr="00150066">
        <w:rPr>
          <w:rFonts w:cs="Arial"/>
          <w:bCs/>
          <w:sz w:val="22"/>
          <w:szCs w:val="22"/>
        </w:rPr>
        <w:t xml:space="preserve">Note: An MLS Participant (or </w:t>
      </w:r>
      <w:proofErr w:type="gramStart"/>
      <w:r w:rsidRPr="00150066">
        <w:rPr>
          <w:rFonts w:cs="Arial"/>
          <w:bCs/>
          <w:sz w:val="22"/>
          <w:szCs w:val="22"/>
        </w:rPr>
        <w:t>where</w:t>
      </w:r>
      <w:proofErr w:type="gramEnd"/>
      <w:r w:rsidRPr="00150066">
        <w:rPr>
          <w:rFonts w:cs="Arial"/>
          <w:bCs/>
          <w:sz w:val="22"/>
          <w:szCs w:val="22"/>
        </w:rPr>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w:t>
      </w:r>
      <w:proofErr w:type="gramStart"/>
      <w:r w:rsidRPr="00150066">
        <w:rPr>
          <w:rFonts w:cs="Arial"/>
          <w:bCs/>
          <w:sz w:val="22"/>
          <w:szCs w:val="22"/>
        </w:rPr>
        <w:t>are able to</w:t>
      </w:r>
      <w:proofErr w:type="gramEnd"/>
      <w:r w:rsidRPr="00150066">
        <w:rPr>
          <w:rFonts w:cs="Arial"/>
          <w:bCs/>
          <w:sz w:val="22"/>
          <w:szCs w:val="22"/>
        </w:rPr>
        <w:t xml:space="preserve"> execute a single property search of multiple IDX data feeds resulting in the display of IDX information from each of the MLSs on a single search results page; and that Participants may display listings from each IDX feed on a single webpage or display.</w:t>
      </w:r>
    </w:p>
    <w:p w14:paraId="0AF2478D" w14:textId="77777777" w:rsidR="00FA3D38" w:rsidRPr="00150066" w:rsidRDefault="00FA3D38" w:rsidP="00FA3D38">
      <w:pPr>
        <w:autoSpaceDE w:val="0"/>
        <w:autoSpaceDN w:val="0"/>
        <w:adjustRightInd w:val="0"/>
        <w:spacing w:after="0"/>
        <w:rPr>
          <w:rFonts w:cs="Arial"/>
          <w:bCs/>
          <w:sz w:val="22"/>
          <w:szCs w:val="22"/>
        </w:rPr>
      </w:pPr>
    </w:p>
    <w:p w14:paraId="0BAFA087" w14:textId="77777777" w:rsidR="00FA3D38" w:rsidRPr="0093012F" w:rsidRDefault="00FA3D38" w:rsidP="00FA3D38">
      <w:pPr>
        <w:spacing w:before="0" w:after="0"/>
        <w:rPr>
          <w:rFonts w:cs="Arial"/>
          <w:sz w:val="22"/>
          <w:szCs w:val="22"/>
          <w:u w:val="single"/>
        </w:rPr>
      </w:pPr>
      <w:r w:rsidRPr="0093012F">
        <w:rPr>
          <w:rFonts w:cs="Arial"/>
          <w:bCs/>
          <w:sz w:val="22"/>
          <w:szCs w:val="22"/>
          <w:u w:val="single"/>
        </w:rPr>
        <w:t xml:space="preserve">Section </w:t>
      </w:r>
      <w:r>
        <w:rPr>
          <w:rFonts w:cs="Arial"/>
          <w:bCs/>
          <w:sz w:val="22"/>
          <w:szCs w:val="22"/>
          <w:u w:val="single"/>
        </w:rPr>
        <w:t>16.3.12</w:t>
      </w:r>
      <w:r w:rsidRPr="0093012F">
        <w:rPr>
          <w:rFonts w:cs="Arial"/>
          <w:sz w:val="22"/>
          <w:szCs w:val="22"/>
          <w:u w:val="single"/>
        </w:rPr>
        <w:t xml:space="preserve"> </w:t>
      </w:r>
    </w:p>
    <w:p w14:paraId="6BAE0646" w14:textId="77777777" w:rsidR="00FA3D38" w:rsidRDefault="00FA3D38" w:rsidP="00FA3D38">
      <w:pPr>
        <w:spacing w:before="0" w:after="0"/>
        <w:rPr>
          <w:rFonts w:cs="Arial"/>
          <w:bCs/>
          <w:sz w:val="22"/>
          <w:szCs w:val="22"/>
        </w:rPr>
      </w:pPr>
      <w:r w:rsidRPr="0093012F">
        <w:rPr>
          <w:rFonts w:cs="Arial"/>
          <w:sz w:val="22"/>
          <w:szCs w:val="22"/>
        </w:rPr>
        <w:t>Display of expired</w:t>
      </w:r>
      <w:r>
        <w:rPr>
          <w:rFonts w:cs="Arial"/>
          <w:sz w:val="22"/>
          <w:szCs w:val="22"/>
        </w:rPr>
        <w:t xml:space="preserve">, </w:t>
      </w:r>
      <w:r w:rsidRPr="0093012F">
        <w:rPr>
          <w:rFonts w:cs="Arial"/>
          <w:sz w:val="22"/>
          <w:szCs w:val="22"/>
        </w:rPr>
        <w:t>withdrawn</w:t>
      </w:r>
      <w:r>
        <w:rPr>
          <w:rFonts w:cs="Arial"/>
          <w:sz w:val="22"/>
          <w:szCs w:val="22"/>
        </w:rPr>
        <w:t xml:space="preserve"> and sold</w:t>
      </w:r>
      <w:r w:rsidRPr="0093012F">
        <w:rPr>
          <w:rFonts w:cs="Arial"/>
          <w:sz w:val="22"/>
          <w:szCs w:val="22"/>
        </w:rPr>
        <w:t xml:space="preserve"> listings is prohibited. </w:t>
      </w:r>
      <w:r w:rsidRPr="0093012F">
        <w:rPr>
          <w:rFonts w:cs="Arial"/>
          <w:i/>
          <w:iCs/>
          <w:sz w:val="22"/>
          <w:szCs w:val="22"/>
        </w:rPr>
        <w:t xml:space="preserve">(Amended </w:t>
      </w:r>
      <w:r>
        <w:rPr>
          <w:rFonts w:cs="Arial"/>
          <w:i/>
          <w:iCs/>
          <w:sz w:val="22"/>
          <w:szCs w:val="22"/>
        </w:rPr>
        <w:t>03/22</w:t>
      </w:r>
      <w:r w:rsidRPr="0093012F">
        <w:rPr>
          <w:rFonts w:cs="Arial"/>
          <w:i/>
          <w:iCs/>
          <w:sz w:val="22"/>
          <w:szCs w:val="22"/>
        </w:rPr>
        <w:t>)</w:t>
      </w:r>
      <w:r w:rsidRPr="0093012F">
        <w:rPr>
          <w:rFonts w:cs="Arial"/>
          <w:sz w:val="22"/>
          <w:szCs w:val="22"/>
        </w:rPr>
        <w:t xml:space="preserve"> </w:t>
      </w:r>
    </w:p>
    <w:p w14:paraId="0E33A438" w14:textId="77777777" w:rsidR="00FA3D38" w:rsidRDefault="00FA3D38" w:rsidP="00FA3D38">
      <w:pPr>
        <w:spacing w:before="0" w:after="0"/>
        <w:rPr>
          <w:rFonts w:cs="Arial"/>
          <w:bCs/>
          <w:sz w:val="22"/>
          <w:szCs w:val="22"/>
        </w:rPr>
      </w:pPr>
    </w:p>
    <w:p w14:paraId="6E2FA453" w14:textId="77777777" w:rsidR="00FA3D38" w:rsidRPr="00486410" w:rsidRDefault="00FA3D38" w:rsidP="00FA3D38">
      <w:r w:rsidRPr="00486410">
        <w:t>* Note: If “sold” information is publicly accessible, display of “sold” listings may not be prohibited.</w:t>
      </w:r>
    </w:p>
    <w:p w14:paraId="2090F3EE" w14:textId="77777777" w:rsidR="00FA3D38" w:rsidRDefault="00FA3D38" w:rsidP="00FA3D38">
      <w:pPr>
        <w:spacing w:before="0" w:after="0"/>
        <w:rPr>
          <w:rFonts w:cs="Arial"/>
          <w:bCs/>
          <w:sz w:val="22"/>
          <w:szCs w:val="22"/>
          <w:u w:val="single"/>
        </w:rPr>
      </w:pPr>
      <w:r w:rsidRPr="0093012F">
        <w:rPr>
          <w:rFonts w:cs="Arial"/>
          <w:sz w:val="22"/>
          <w:szCs w:val="22"/>
        </w:rPr>
        <w:br/>
      </w:r>
    </w:p>
    <w:p w14:paraId="0C6D155D" w14:textId="77777777" w:rsidR="00FA3D38" w:rsidRDefault="00FA3D38" w:rsidP="00FA3D38">
      <w:pPr>
        <w:spacing w:before="0" w:after="0"/>
        <w:rPr>
          <w:rFonts w:cs="Arial"/>
          <w:bCs/>
          <w:sz w:val="22"/>
          <w:szCs w:val="22"/>
          <w:u w:val="single"/>
        </w:rPr>
      </w:pPr>
    </w:p>
    <w:p w14:paraId="34BFF5E5" w14:textId="73EAA948" w:rsidR="00FA3D38" w:rsidRPr="0093012F" w:rsidRDefault="00FA3D38" w:rsidP="00FA3D38">
      <w:pPr>
        <w:spacing w:before="0" w:after="0"/>
        <w:rPr>
          <w:rFonts w:cs="Arial"/>
          <w:sz w:val="22"/>
          <w:szCs w:val="22"/>
          <w:u w:val="single"/>
        </w:rPr>
      </w:pPr>
      <w:r w:rsidRPr="0093012F">
        <w:rPr>
          <w:rFonts w:cs="Arial"/>
          <w:bCs/>
          <w:sz w:val="22"/>
          <w:szCs w:val="22"/>
          <w:u w:val="single"/>
        </w:rPr>
        <w:lastRenderedPageBreak/>
        <w:t xml:space="preserve">Section </w:t>
      </w:r>
      <w:r>
        <w:rPr>
          <w:rFonts w:cs="Arial"/>
          <w:bCs/>
          <w:sz w:val="22"/>
          <w:szCs w:val="22"/>
          <w:u w:val="single"/>
        </w:rPr>
        <w:t>16.3.13</w:t>
      </w:r>
      <w:r w:rsidRPr="0093012F">
        <w:rPr>
          <w:rFonts w:cs="Arial"/>
          <w:sz w:val="22"/>
          <w:szCs w:val="22"/>
          <w:u w:val="single"/>
        </w:rPr>
        <w:t xml:space="preserve"> </w:t>
      </w:r>
    </w:p>
    <w:p w14:paraId="434921D7" w14:textId="77777777" w:rsidR="00FA3D38" w:rsidRPr="0093012F" w:rsidRDefault="00FA3D38" w:rsidP="00FA3D38">
      <w:pPr>
        <w:spacing w:before="0" w:after="0"/>
        <w:rPr>
          <w:rFonts w:cs="Arial"/>
          <w:sz w:val="22"/>
          <w:szCs w:val="22"/>
          <w:u w:val="single"/>
        </w:rPr>
      </w:pPr>
      <w:r w:rsidRPr="0093012F">
        <w:rPr>
          <w:rFonts w:cs="Arial"/>
          <w:sz w:val="22"/>
          <w:szCs w:val="22"/>
        </w:rPr>
        <w:t xml:space="preserve">Display of seller’s(s’) and/or occupant’s(s’) name(s), phone number(s), and email address(es) is prohibited. </w:t>
      </w:r>
      <w:r w:rsidRPr="0093012F">
        <w:rPr>
          <w:rFonts w:cs="Arial"/>
          <w:sz w:val="22"/>
          <w:szCs w:val="22"/>
        </w:rPr>
        <w:br/>
      </w:r>
      <w:r w:rsidRPr="0093012F">
        <w:rPr>
          <w:rFonts w:cs="Arial"/>
          <w:sz w:val="22"/>
          <w:szCs w:val="22"/>
        </w:rPr>
        <w:br/>
      </w:r>
      <w:r w:rsidRPr="0093012F">
        <w:rPr>
          <w:rFonts w:cs="Arial"/>
          <w:bCs/>
          <w:sz w:val="22"/>
          <w:szCs w:val="22"/>
          <w:u w:val="single"/>
        </w:rPr>
        <w:t xml:space="preserve">Section </w:t>
      </w:r>
      <w:r>
        <w:rPr>
          <w:rFonts w:cs="Arial"/>
          <w:bCs/>
          <w:sz w:val="22"/>
          <w:szCs w:val="22"/>
          <w:u w:val="single"/>
        </w:rPr>
        <w:t>16.3.14</w:t>
      </w:r>
      <w:r w:rsidRPr="0093012F">
        <w:rPr>
          <w:rFonts w:cs="Arial"/>
          <w:sz w:val="22"/>
          <w:szCs w:val="22"/>
          <w:u w:val="single"/>
        </w:rPr>
        <w:t xml:space="preserve"> </w:t>
      </w:r>
    </w:p>
    <w:p w14:paraId="67A4122A" w14:textId="77777777" w:rsidR="00FA3D38" w:rsidRPr="0093012F" w:rsidRDefault="00FA3D38" w:rsidP="00FA3D38">
      <w:pPr>
        <w:spacing w:before="0" w:after="0"/>
        <w:rPr>
          <w:rFonts w:cs="Arial"/>
          <w:sz w:val="22"/>
          <w:szCs w:val="22"/>
          <w:u w:val="single"/>
        </w:rPr>
      </w:pPr>
      <w:r w:rsidRPr="0093012F">
        <w:rPr>
          <w:rFonts w:cs="Arial"/>
          <w:sz w:val="22"/>
          <w:szCs w:val="22"/>
        </w:rPr>
        <w:t xml:space="preserve">Participants are required to employ appropriate security protection such as firewalls on their websites and displays, provided that any security measures required may not be greater than those employed by the MLS. </w:t>
      </w:r>
      <w:r w:rsidRPr="0093012F">
        <w:rPr>
          <w:rFonts w:cs="Arial"/>
          <w:iCs/>
          <w:sz w:val="22"/>
          <w:szCs w:val="22"/>
        </w:rPr>
        <w:t>(Amended 05/12)</w:t>
      </w:r>
      <w:r w:rsidRPr="0093012F">
        <w:rPr>
          <w:rFonts w:cs="Arial"/>
          <w:sz w:val="22"/>
          <w:szCs w:val="22"/>
        </w:rPr>
        <w:t xml:space="preserve"> </w:t>
      </w:r>
      <w:r w:rsidRPr="0093012F">
        <w:rPr>
          <w:rFonts w:cs="Arial"/>
          <w:sz w:val="22"/>
          <w:szCs w:val="22"/>
        </w:rPr>
        <w:br/>
      </w:r>
      <w:r w:rsidRPr="0093012F">
        <w:rPr>
          <w:rFonts w:cs="Arial"/>
          <w:sz w:val="22"/>
          <w:szCs w:val="22"/>
        </w:rPr>
        <w:br/>
      </w:r>
      <w:r w:rsidRPr="0093012F">
        <w:rPr>
          <w:rFonts w:cs="Arial"/>
          <w:bCs/>
          <w:sz w:val="22"/>
          <w:szCs w:val="22"/>
          <w:u w:val="single"/>
        </w:rPr>
        <w:t xml:space="preserve">Section </w:t>
      </w:r>
      <w:r>
        <w:rPr>
          <w:rFonts w:cs="Arial"/>
          <w:bCs/>
          <w:sz w:val="22"/>
          <w:szCs w:val="22"/>
          <w:u w:val="single"/>
        </w:rPr>
        <w:t>16.3.15</w:t>
      </w:r>
      <w:r w:rsidRPr="0093012F">
        <w:rPr>
          <w:rFonts w:cs="Arial"/>
          <w:sz w:val="22"/>
          <w:szCs w:val="22"/>
          <w:u w:val="single"/>
        </w:rPr>
        <w:t xml:space="preserve"> </w:t>
      </w:r>
    </w:p>
    <w:p w14:paraId="1C59C607" w14:textId="77777777" w:rsidR="00FA3D38" w:rsidRPr="0093012F" w:rsidRDefault="00FA3D38" w:rsidP="00FA3D38">
      <w:pPr>
        <w:autoSpaceDE w:val="0"/>
        <w:autoSpaceDN w:val="0"/>
        <w:adjustRightInd w:val="0"/>
        <w:spacing w:after="0"/>
        <w:rPr>
          <w:rFonts w:cs="Arial"/>
          <w:sz w:val="22"/>
          <w:szCs w:val="22"/>
        </w:rPr>
      </w:pPr>
      <w:r w:rsidRPr="0093012F">
        <w:rPr>
          <w:rFonts w:cs="Arial"/>
          <w:sz w:val="22"/>
          <w:szCs w:val="22"/>
        </w:rPr>
        <w:t xml:space="preserve">Participants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Pr="0093012F">
        <w:rPr>
          <w:rFonts w:cs="Arial"/>
          <w:iCs/>
          <w:sz w:val="22"/>
          <w:szCs w:val="22"/>
        </w:rPr>
        <w:t>(Amended 05/12)</w:t>
      </w:r>
      <w:r w:rsidRPr="0093012F">
        <w:rPr>
          <w:rFonts w:cs="Arial"/>
          <w:sz w:val="22"/>
          <w:szCs w:val="22"/>
        </w:rPr>
        <w:t xml:space="preserve"> </w:t>
      </w:r>
      <w:r w:rsidRPr="0093012F">
        <w:rPr>
          <w:rFonts w:cs="Arial"/>
          <w:sz w:val="22"/>
          <w:szCs w:val="22"/>
        </w:rPr>
        <w:br/>
      </w:r>
      <w:r w:rsidRPr="0093012F">
        <w:rPr>
          <w:rFonts w:cs="Arial"/>
          <w:sz w:val="22"/>
          <w:szCs w:val="22"/>
        </w:rPr>
        <w:br/>
      </w:r>
      <w:r w:rsidRPr="0093012F">
        <w:rPr>
          <w:rFonts w:cs="Arial"/>
          <w:bCs/>
          <w:sz w:val="22"/>
          <w:szCs w:val="22"/>
          <w:u w:val="single"/>
        </w:rPr>
        <w:t xml:space="preserve">Section </w:t>
      </w:r>
      <w:r>
        <w:rPr>
          <w:rFonts w:cs="Arial"/>
          <w:bCs/>
          <w:sz w:val="22"/>
          <w:szCs w:val="22"/>
          <w:u w:val="single"/>
        </w:rPr>
        <w:t>16.3.16</w:t>
      </w:r>
      <w:r w:rsidRPr="0093012F">
        <w:rPr>
          <w:rFonts w:cs="Arial"/>
          <w:sz w:val="22"/>
          <w:szCs w:val="22"/>
          <w:u w:val="single"/>
        </w:rPr>
        <w:t xml:space="preserve"> </w:t>
      </w:r>
      <w:r w:rsidRPr="0093012F">
        <w:rPr>
          <w:rFonts w:cs="Arial"/>
          <w:sz w:val="22"/>
          <w:szCs w:val="22"/>
        </w:rPr>
        <w:br/>
        <w:t xml:space="preserve">Deceptive or misleading advertising (including co-branding) on pages displaying IDX-provided listings is prohibited. For purposes of these rules, co-branding will be presumed not to be deceptive or misleading if the participant’s logo and contact information is larger than that of any third party.  </w:t>
      </w:r>
      <w:r w:rsidRPr="0093012F">
        <w:rPr>
          <w:rFonts w:cs="Arial"/>
          <w:i/>
          <w:iCs/>
          <w:sz w:val="22"/>
          <w:szCs w:val="22"/>
        </w:rPr>
        <w:t>(Adopted 11/09)</w:t>
      </w:r>
      <w:r w:rsidRPr="0093012F">
        <w:rPr>
          <w:rFonts w:cs="Arial"/>
          <w:sz w:val="22"/>
          <w:szCs w:val="22"/>
        </w:rPr>
        <w:t xml:space="preserve"> </w:t>
      </w:r>
    </w:p>
    <w:p w14:paraId="3B0EBC2E" w14:textId="77777777" w:rsidR="00FA3D38" w:rsidRPr="0093012F" w:rsidRDefault="00FA3D38" w:rsidP="00FA3D38">
      <w:pPr>
        <w:spacing w:before="0" w:after="0"/>
        <w:rPr>
          <w:rFonts w:cs="Arial"/>
          <w:sz w:val="22"/>
          <w:szCs w:val="22"/>
        </w:rPr>
      </w:pPr>
    </w:p>
    <w:p w14:paraId="3F560F0C" w14:textId="77777777" w:rsidR="00FA3D38" w:rsidRDefault="00FA3D38" w:rsidP="00FA3D38">
      <w:pPr>
        <w:spacing w:before="0" w:after="0"/>
        <w:rPr>
          <w:rFonts w:cs="Arial"/>
          <w:sz w:val="22"/>
          <w:szCs w:val="22"/>
          <w:u w:val="single"/>
        </w:rPr>
      </w:pPr>
      <w:r w:rsidRPr="0093012F">
        <w:rPr>
          <w:rFonts w:cs="Arial"/>
          <w:bCs/>
          <w:sz w:val="22"/>
          <w:szCs w:val="22"/>
          <w:u w:val="single"/>
        </w:rPr>
        <w:t xml:space="preserve">Section </w:t>
      </w:r>
      <w:r>
        <w:rPr>
          <w:rFonts w:cs="Arial"/>
          <w:bCs/>
          <w:sz w:val="22"/>
          <w:szCs w:val="22"/>
          <w:u w:val="single"/>
        </w:rPr>
        <w:t>16.4</w:t>
      </w:r>
      <w:r w:rsidRPr="0093012F">
        <w:rPr>
          <w:rFonts w:cs="Arial"/>
          <w:bCs/>
          <w:sz w:val="22"/>
          <w:szCs w:val="22"/>
          <w:u w:val="single"/>
        </w:rPr>
        <w:t xml:space="preserve"> Service Fees and Charges</w:t>
      </w:r>
      <w:r w:rsidRPr="0093012F">
        <w:rPr>
          <w:rFonts w:cs="Arial"/>
          <w:sz w:val="22"/>
          <w:szCs w:val="22"/>
          <w:u w:val="single"/>
        </w:rPr>
        <w:t xml:space="preserve"> </w:t>
      </w:r>
    </w:p>
    <w:p w14:paraId="638C0D22" w14:textId="77777777" w:rsidR="00FA3D38" w:rsidRPr="0030435F" w:rsidRDefault="00FA3D38" w:rsidP="00FA3D38">
      <w:pPr>
        <w:spacing w:before="0" w:after="0"/>
        <w:rPr>
          <w:rFonts w:cs="Arial"/>
          <w:sz w:val="22"/>
          <w:szCs w:val="22"/>
        </w:rPr>
      </w:pPr>
      <w:r w:rsidRPr="0030435F">
        <w:rPr>
          <w:rFonts w:cs="Arial"/>
          <w:sz w:val="22"/>
          <w:szCs w:val="22"/>
        </w:rPr>
        <w:t>Service fees and charges for p</w:t>
      </w:r>
      <w:r>
        <w:rPr>
          <w:rFonts w:cs="Arial"/>
          <w:sz w:val="22"/>
          <w:szCs w:val="22"/>
        </w:rPr>
        <w:t>articipation</w:t>
      </w:r>
      <w:r w:rsidRPr="0030435F">
        <w:rPr>
          <w:rFonts w:cs="Arial"/>
          <w:sz w:val="22"/>
          <w:szCs w:val="22"/>
        </w:rPr>
        <w:t xml:space="preserve"> in IDX shall be as established annually by the Board of Directors.  (Adopted 11/01, amended 5/05) </w:t>
      </w:r>
    </w:p>
    <w:p w14:paraId="52D5F98D" w14:textId="77777777" w:rsidR="004B60F4" w:rsidRDefault="004B60F4"/>
    <w:sectPr w:rsidR="004B6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70C33"/>
    <w:multiLevelType w:val="multilevel"/>
    <w:tmpl w:val="8934F0EE"/>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38"/>
    <w:rsid w:val="004B60F4"/>
    <w:rsid w:val="00FA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3A6C"/>
  <w15:chartTrackingRefBased/>
  <w15:docId w15:val="{3F13DBE3-F239-439B-AE3B-008098BD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D38"/>
    <w:pPr>
      <w:spacing w:before="80" w:after="8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1896</Words>
  <Characters>10811</Characters>
  <Application>Microsoft Office Word</Application>
  <DocSecurity>0</DocSecurity>
  <Lines>90</Lines>
  <Paragraphs>25</Paragraphs>
  <ScaleCrop>false</ScaleCrop>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Carma Miller</dc:creator>
  <cp:keywords/>
  <dc:description/>
  <cp:lastModifiedBy>Carma Miller</cp:lastModifiedBy>
  <cp:revision>1</cp:revision>
  <dcterms:created xsi:type="dcterms:W3CDTF">2022-03-22T18:06:00Z</dcterms:created>
  <dcterms:modified xsi:type="dcterms:W3CDTF">2022-03-22T18:07:00Z</dcterms:modified>
</cp:coreProperties>
</file>